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 w14:paraId="02000000">
      <w:pPr>
        <w:widowControl w:val="1"/>
        <w:ind/>
        <w:jc w:val="center"/>
        <w:rPr>
          <w:rFonts w:ascii="Times New Roman" w:hAnsi="Times New Roman"/>
          <w:b w:val="1"/>
          <w:sz w:val="26"/>
        </w:rPr>
      </w:pPr>
      <w:r>
        <w:rPr>
          <w:rFonts w:ascii="Times New Roman" w:hAnsi="Times New Roman"/>
          <w:b w:val="1"/>
          <w:sz w:val="26"/>
        </w:rPr>
        <w:t>Информация о конфликте ин</w:t>
      </w:r>
      <w:r>
        <w:rPr>
          <w:rFonts w:ascii="Times New Roman" w:hAnsi="Times New Roman"/>
          <w:b w:val="1"/>
          <w:sz w:val="26"/>
        </w:rPr>
        <w:t>тересов АО НПФ «Атомгарант</w:t>
      </w:r>
      <w:r>
        <w:rPr>
          <w:rFonts w:ascii="Times New Roman" w:hAnsi="Times New Roman"/>
          <w:b w:val="1"/>
          <w:sz w:val="26"/>
        </w:rPr>
        <w:t>»</w:t>
      </w:r>
    </w:p>
    <w:tbl>
      <w:tblPr>
        <w:tblStyle w:val="Style_1"/>
        <w:tblW w:type="auto" w:w="0"/>
        <w:tblLayout w:type="fixed"/>
      </w:tblPr>
      <w:tblGrid>
        <w:gridCol w:w="534"/>
        <w:gridCol w:w="1275"/>
        <w:gridCol w:w="1418"/>
        <w:gridCol w:w="3544"/>
        <w:gridCol w:w="1191"/>
        <w:gridCol w:w="2369"/>
        <w:gridCol w:w="1485"/>
        <w:gridCol w:w="2751"/>
      </w:tblGrid>
      <w:tr>
        <w:tc>
          <w:tcPr>
            <w:tcW w:type="dxa" w:w="534"/>
          </w:tcPr>
          <w:p w14:paraId="03000000">
            <w:pPr>
              <w:rPr>
                <w:rFonts w:ascii="Times New Roman" w:hAnsi="Times New Roman"/>
                <w:sz w:val="20"/>
              </w:rPr>
            </w:pPr>
            <w:r>
              <w:rPr>
                <w:rFonts w:ascii="Times New Roman" w:hAnsi="Times New Roman"/>
                <w:sz w:val="20"/>
              </w:rPr>
              <w:t xml:space="preserve">№ </w:t>
            </w:r>
            <w:r>
              <w:rPr>
                <w:rFonts w:ascii="Times New Roman" w:hAnsi="Times New Roman"/>
                <w:sz w:val="20"/>
              </w:rPr>
              <w:t>п</w:t>
            </w:r>
            <w:r>
              <w:rPr>
                <w:rFonts w:ascii="Times New Roman" w:hAnsi="Times New Roman"/>
                <w:sz w:val="20"/>
              </w:rPr>
              <w:t>/п</w:t>
            </w:r>
          </w:p>
        </w:tc>
        <w:tc>
          <w:tcPr>
            <w:tcW w:type="dxa" w:w="1275"/>
          </w:tcPr>
          <w:p w14:paraId="04000000">
            <w:pPr>
              <w:rPr>
                <w:rFonts w:ascii="Times New Roman" w:hAnsi="Times New Roman"/>
                <w:sz w:val="20"/>
              </w:rPr>
            </w:pPr>
            <w:r>
              <w:rPr>
                <w:rFonts w:ascii="Times New Roman" w:hAnsi="Times New Roman"/>
                <w:sz w:val="20"/>
              </w:rPr>
              <w:t xml:space="preserve">Дата конфликта </w:t>
            </w:r>
          </w:p>
        </w:tc>
        <w:tc>
          <w:tcPr>
            <w:tcW w:type="dxa" w:w="1418"/>
          </w:tcPr>
          <w:p w14:paraId="05000000">
            <w:pPr>
              <w:widowControl w:val="1"/>
              <w:ind/>
              <w:jc w:val="both"/>
              <w:rPr>
                <w:rFonts w:ascii="Times New Roman" w:hAnsi="Times New Roman"/>
                <w:sz w:val="20"/>
              </w:rPr>
            </w:pPr>
            <w:r>
              <w:rPr>
                <w:rFonts w:ascii="Times New Roman" w:hAnsi="Times New Roman"/>
                <w:sz w:val="20"/>
              </w:rPr>
              <w:t xml:space="preserve">Указание </w:t>
            </w:r>
            <w:r>
              <w:rPr>
                <w:rFonts w:ascii="Times New Roman" w:hAnsi="Times New Roman"/>
                <w:sz w:val="20"/>
              </w:rPr>
              <w:t>средств</w:t>
            </w:r>
            <w:r>
              <w:rPr>
                <w:rFonts w:ascii="Times New Roman" w:hAnsi="Times New Roman"/>
                <w:sz w:val="20"/>
              </w:rPr>
              <w:t xml:space="preserve"> в отношении которых возник конфликт интересов</w:t>
            </w:r>
          </w:p>
          <w:p w14:paraId="06000000">
            <w:pPr>
              <w:rPr>
                <w:rFonts w:ascii="Times New Roman" w:hAnsi="Times New Roman"/>
                <w:sz w:val="20"/>
              </w:rPr>
            </w:pPr>
          </w:p>
        </w:tc>
        <w:tc>
          <w:tcPr>
            <w:tcW w:type="dxa" w:w="3544"/>
          </w:tcPr>
          <w:p w14:paraId="07000000">
            <w:pPr>
              <w:rPr>
                <w:rFonts w:ascii="Times New Roman" w:hAnsi="Times New Roman"/>
                <w:sz w:val="20"/>
              </w:rPr>
            </w:pPr>
            <w:r>
              <w:rPr>
                <w:rFonts w:ascii="Times New Roman" w:hAnsi="Times New Roman"/>
                <w:sz w:val="20"/>
              </w:rPr>
              <w:t>Обстоятельства возникновения конфликта интересов</w:t>
            </w:r>
          </w:p>
        </w:tc>
        <w:tc>
          <w:tcPr>
            <w:tcW w:type="dxa" w:w="1191"/>
          </w:tcPr>
          <w:p w14:paraId="08000000">
            <w:pPr>
              <w:rPr>
                <w:rFonts w:ascii="Times New Roman" w:hAnsi="Times New Roman"/>
                <w:sz w:val="20"/>
              </w:rPr>
            </w:pPr>
            <w:r>
              <w:rPr>
                <w:rFonts w:ascii="Times New Roman" w:hAnsi="Times New Roman"/>
                <w:sz w:val="20"/>
              </w:rPr>
              <w:t>Вид актива</w:t>
            </w:r>
          </w:p>
        </w:tc>
        <w:tc>
          <w:tcPr>
            <w:tcW w:type="dxa" w:w="2369"/>
          </w:tcPr>
          <w:p w14:paraId="09000000">
            <w:pPr>
              <w:rPr>
                <w:rFonts w:ascii="Times New Roman" w:hAnsi="Times New Roman"/>
                <w:sz w:val="20"/>
              </w:rPr>
            </w:pPr>
            <w:r>
              <w:rPr>
                <w:rFonts w:ascii="Times New Roman" w:hAnsi="Times New Roman"/>
                <w:sz w:val="20"/>
              </w:rPr>
              <w:t>Полное наименование лица, обязанного по активу</w:t>
            </w:r>
            <w:r>
              <w:rPr>
                <w:rFonts w:ascii="Times New Roman" w:hAnsi="Times New Roman"/>
                <w:sz w:val="20"/>
              </w:rPr>
              <w:t>, ОГРН</w:t>
            </w:r>
          </w:p>
        </w:tc>
        <w:tc>
          <w:tcPr>
            <w:tcW w:type="dxa" w:w="1485"/>
          </w:tcPr>
          <w:p w14:paraId="0A000000">
            <w:pPr>
              <w:rPr>
                <w:rFonts w:ascii="Times New Roman" w:hAnsi="Times New Roman"/>
                <w:sz w:val="20"/>
              </w:rPr>
            </w:pPr>
            <w:r>
              <w:rPr>
                <w:rFonts w:ascii="Times New Roman" w:hAnsi="Times New Roman"/>
                <w:sz w:val="20"/>
              </w:rPr>
              <w:t>Сведения о принятии решения об отказе от предотвращения возникновения конфликта интересов</w:t>
            </w:r>
          </w:p>
        </w:tc>
        <w:tc>
          <w:tcPr>
            <w:tcW w:type="dxa" w:w="2751"/>
          </w:tcPr>
          <w:p w14:paraId="0B000000">
            <w:pPr>
              <w:rPr>
                <w:rFonts w:ascii="Times New Roman" w:hAnsi="Times New Roman"/>
                <w:sz w:val="20"/>
              </w:rPr>
            </w:pPr>
            <w:r>
              <w:rPr>
                <w:rFonts w:ascii="Times New Roman" w:hAnsi="Times New Roman"/>
                <w:sz w:val="20"/>
              </w:rPr>
              <w:t>Причины принятия решения об отказе от предотвращения возникновения конфликта интересов</w:t>
            </w:r>
          </w:p>
        </w:tc>
      </w:tr>
      <w:tr>
        <w:tc>
          <w:tcPr>
            <w:tcW w:type="dxa" w:w="534"/>
          </w:tcPr>
          <w:p w14:paraId="0C000000">
            <w:pPr>
              <w:rPr>
                <w:rFonts w:ascii="Times New Roman" w:hAnsi="Times New Roman"/>
                <w:sz w:val="20"/>
              </w:rPr>
            </w:pPr>
            <w:r>
              <w:rPr>
                <w:rFonts w:ascii="Times New Roman" w:hAnsi="Times New Roman"/>
                <w:sz w:val="20"/>
              </w:rPr>
              <w:t>1</w:t>
            </w:r>
          </w:p>
        </w:tc>
        <w:tc>
          <w:tcPr>
            <w:tcW w:type="dxa" w:w="1275"/>
          </w:tcPr>
          <w:p w14:paraId="0D000000">
            <w:pPr>
              <w:rPr>
                <w:rFonts w:ascii="Times New Roman" w:hAnsi="Times New Roman"/>
                <w:sz w:val="20"/>
              </w:rPr>
            </w:pPr>
            <w:r>
              <w:rPr>
                <w:rFonts w:ascii="Times New Roman" w:hAnsi="Times New Roman"/>
                <w:sz w:val="20"/>
              </w:rPr>
              <w:t>30.04.202</w:t>
            </w:r>
            <w:r>
              <w:rPr>
                <w:rFonts w:ascii="Times New Roman" w:hAnsi="Times New Roman"/>
                <w:sz w:val="20"/>
              </w:rPr>
              <w:t>5</w:t>
            </w:r>
            <w:r>
              <w:rPr>
                <w:rFonts w:ascii="Times New Roman" w:hAnsi="Times New Roman"/>
                <w:sz w:val="20"/>
              </w:rPr>
              <w:t>г.</w:t>
            </w:r>
          </w:p>
        </w:tc>
        <w:tc>
          <w:tcPr>
            <w:tcW w:type="dxa" w:w="1418"/>
          </w:tcPr>
          <w:p w14:paraId="0E000000">
            <w:pPr>
              <w:rPr>
                <w:rFonts w:ascii="Times New Roman" w:hAnsi="Times New Roman"/>
                <w:sz w:val="20"/>
              </w:rPr>
            </w:pPr>
            <w:r>
              <w:rPr>
                <w:rFonts w:ascii="Times New Roman" w:hAnsi="Times New Roman"/>
                <w:sz w:val="20"/>
              </w:rPr>
              <w:t>Пенсионные резервы</w:t>
            </w:r>
          </w:p>
        </w:tc>
        <w:tc>
          <w:tcPr>
            <w:tcW w:type="dxa" w:w="3544"/>
          </w:tcPr>
          <w:p w14:paraId="0F000000">
            <w:pPr>
              <w:rPr>
                <w:rFonts w:ascii="Times New Roman" w:hAnsi="Times New Roman"/>
                <w:sz w:val="20"/>
              </w:rPr>
            </w:pPr>
            <w:r>
              <w:rPr>
                <w:rFonts w:ascii="Times New Roman" w:hAnsi="Times New Roman"/>
                <w:sz w:val="20"/>
              </w:rPr>
              <w:t>при приобретении за счет средств пенсионных резервов активов, обязанным лицом по которым является юридическое лицо, если указанное юридическое лицо контролирует или оказывает значительное влияние на Фонд, или если Фонд контролирует или оказывает значительное влияние на указанное юридическое лицо, или если указанное юридическое лицо и Фонд находятся под контролем или значительным влиянием иного юридического лица (иных юридических лиц) (за исключением случаев</w:t>
            </w:r>
            <w:r>
              <w:rPr>
                <w:rFonts w:ascii="Times New Roman" w:hAnsi="Times New Roman"/>
                <w:sz w:val="20"/>
              </w:rPr>
              <w:t>, когда иными юридическими лицами являются Банк России, федеральные органы государственной власти, органы государственной власти субъектов Российской Федерации и органы местного самоуправления) (далее – лицо, связанное с Фондом)</w:t>
            </w:r>
          </w:p>
        </w:tc>
        <w:tc>
          <w:tcPr>
            <w:tcW w:type="dxa" w:w="1191"/>
          </w:tcPr>
          <w:p w14:paraId="10000000">
            <w:pPr>
              <w:rPr>
                <w:rFonts w:ascii="Times New Roman" w:hAnsi="Times New Roman"/>
                <w:sz w:val="20"/>
              </w:rPr>
            </w:pPr>
            <w:r>
              <w:rPr>
                <w:rFonts w:ascii="Times New Roman" w:hAnsi="Times New Roman"/>
                <w:sz w:val="20"/>
              </w:rPr>
              <w:t>Облигации</w:t>
            </w:r>
          </w:p>
        </w:tc>
        <w:tc>
          <w:tcPr>
            <w:tcW w:type="dxa" w:w="2369"/>
          </w:tcPr>
          <w:p w14:paraId="11000000">
            <w:pPr>
              <w:rPr>
                <w:rFonts w:ascii="Times New Roman" w:hAnsi="Times New Roman"/>
                <w:sz w:val="20"/>
              </w:rPr>
            </w:pPr>
            <w:r>
              <w:rPr>
                <w:rFonts w:ascii="Times New Roman" w:hAnsi="Times New Roman"/>
                <w:sz w:val="20"/>
              </w:rPr>
              <w:t>АО «Атомэнергопром»</w:t>
            </w:r>
            <w:r>
              <w:rPr>
                <w:rFonts w:ascii="Times New Roman" w:hAnsi="Times New Roman"/>
                <w:sz w:val="20"/>
              </w:rPr>
              <w:t xml:space="preserve">, </w:t>
            </w:r>
            <w:r>
              <w:rPr>
                <w:rFonts w:ascii="Times New Roman" w:hAnsi="Times New Roman"/>
                <w:color w:val="000000"/>
                <w:sz w:val="20"/>
              </w:rPr>
              <w:t>1077758081664</w:t>
            </w:r>
          </w:p>
        </w:tc>
        <w:tc>
          <w:tcPr>
            <w:tcW w:type="dxa" w:w="1485"/>
          </w:tcPr>
          <w:p w14:paraId="12000000">
            <w:pPr>
              <w:rPr>
                <w:rFonts w:ascii="Times New Roman" w:hAnsi="Times New Roman"/>
                <w:sz w:val="20"/>
              </w:rPr>
            </w:pPr>
            <w:r>
              <w:rPr>
                <w:rFonts w:ascii="Times New Roman" w:hAnsi="Times New Roman"/>
                <w:sz w:val="20"/>
              </w:rPr>
              <w:t xml:space="preserve">Решение от </w:t>
            </w:r>
            <w:r>
              <w:rPr>
                <w:rFonts w:ascii="Times New Roman" w:hAnsi="Times New Roman"/>
                <w:sz w:val="20"/>
              </w:rPr>
              <w:t>0</w:t>
            </w:r>
            <w:r>
              <w:rPr>
                <w:rFonts w:ascii="Times New Roman" w:hAnsi="Times New Roman"/>
                <w:sz w:val="20"/>
              </w:rPr>
              <w:t>5</w:t>
            </w:r>
            <w:r>
              <w:rPr>
                <w:rFonts w:ascii="Times New Roman" w:hAnsi="Times New Roman"/>
                <w:sz w:val="20"/>
              </w:rPr>
              <w:t>.0</w:t>
            </w:r>
            <w:r>
              <w:rPr>
                <w:rFonts w:ascii="Times New Roman" w:hAnsi="Times New Roman"/>
                <w:sz w:val="20"/>
              </w:rPr>
              <w:t>5</w:t>
            </w:r>
            <w:r>
              <w:rPr>
                <w:rFonts w:ascii="Times New Roman" w:hAnsi="Times New Roman"/>
                <w:sz w:val="20"/>
              </w:rPr>
              <w:t>.2025г. № 1/КИ</w:t>
            </w:r>
          </w:p>
        </w:tc>
        <w:tc>
          <w:tcPr>
            <w:tcW w:type="dxa" w:w="2751"/>
          </w:tcPr>
          <w:p w14:paraId="13000000">
            <w:pPr>
              <w:widowControl w:val="1"/>
              <w:spacing w:line="240" w:lineRule="atLeast"/>
              <w:ind/>
              <w:jc w:val="both"/>
              <w:rPr>
                <w:rFonts w:ascii="Times New Roman" w:hAnsi="Times New Roman"/>
                <w:sz w:val="20"/>
              </w:rPr>
            </w:pPr>
            <w:r>
              <w:rPr>
                <w:rFonts w:ascii="Times New Roman" w:hAnsi="Times New Roman"/>
                <w:sz w:val="20"/>
              </w:rPr>
              <w:t xml:space="preserve">- Фонд в условиях наличия конфликта интересов при совершении либо несовершении юридических и (или) фактических действий, влияющих на связанные с оказанием услуг Фонда интересы вкладчиков и участников, действует так же, как в условиях отсутствия конфликта интересов. </w:t>
            </w:r>
          </w:p>
          <w:p w14:paraId="14000000">
            <w:pPr>
              <w:widowControl w:val="1"/>
              <w:spacing w:line="240" w:lineRule="atLeast"/>
              <w:ind/>
              <w:jc w:val="both"/>
              <w:rPr>
                <w:rFonts w:ascii="Times New Roman" w:hAnsi="Times New Roman"/>
                <w:sz w:val="20"/>
              </w:rPr>
            </w:pPr>
            <w:r>
              <w:rPr>
                <w:rFonts w:ascii="Times New Roman" w:hAnsi="Times New Roman"/>
                <w:sz w:val="20"/>
              </w:rPr>
              <w:t xml:space="preserve">- Возникновение конфликта интересов не связано с обстоятельствами, предусмотренными абзацами одиннадцатым и тринадцатым пункта 2.1 Указания Банка России от 01.10.2024 №6883-У. </w:t>
            </w:r>
          </w:p>
          <w:p w14:paraId="15000000">
            <w:pPr>
              <w:widowControl w:val="1"/>
              <w:spacing w:line="240" w:lineRule="atLeast"/>
              <w:ind/>
              <w:rPr>
                <w:rFonts w:ascii="Times New Roman" w:hAnsi="Times New Roman"/>
                <w:sz w:val="20"/>
              </w:rPr>
            </w:pPr>
          </w:p>
        </w:tc>
      </w:tr>
    </w:tbl>
    <w:p w14:paraId="16000000"/>
    <w:sectPr>
      <w:pgSz w:h="11906" w:orient="landscape" w:w="16838"/>
      <w:pgMar w:bottom="851" w:footer="709" w:gutter="0" w:header="709" w:left="1134" w:right="1134" w:top="1701"/>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next w:val="Style_2"/>
    <w:link w:val="Style_8_ch"/>
    <w:uiPriority w:val="9"/>
    <w:qFormat/>
    <w:pPr>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toc 3"/>
    <w:next w:val="Style_2"/>
    <w:link w:val="Style_9_ch"/>
    <w:uiPriority w:val="39"/>
    <w:pPr>
      <w:ind w:firstLine="0" w:left="400"/>
      <w:jc w:val="left"/>
    </w:pPr>
    <w:rPr>
      <w:rFonts w:ascii="XO Thames" w:hAnsi="XO Thames"/>
      <w:sz w:val="28"/>
    </w:rPr>
  </w:style>
  <w:style w:styleId="Style_9_ch" w:type="character">
    <w:name w:val="toc 3"/>
    <w:link w:val="Style_9"/>
    <w:rPr>
      <w:rFonts w:ascii="XO Thames" w:hAnsi="XO Thames"/>
      <w:sz w:val="28"/>
    </w:rPr>
  </w:style>
  <w:style w:styleId="Style_10" w:type="paragraph">
    <w:name w:val="heading 5"/>
    <w:next w:val="Style_2"/>
    <w:link w:val="Style_10_ch"/>
    <w:uiPriority w:val="9"/>
    <w:qFormat/>
    <w:pPr>
      <w:spacing w:after="120" w:before="120"/>
      <w:ind/>
      <w:jc w:val="both"/>
      <w:outlineLvl w:val="4"/>
    </w:pPr>
    <w:rPr>
      <w:rFonts w:ascii="XO Thames" w:hAnsi="XO Thames"/>
      <w:b w:val="1"/>
      <w:sz w:val="22"/>
    </w:rPr>
  </w:style>
  <w:style w:styleId="Style_10_ch" w:type="character">
    <w:name w:val="heading 5"/>
    <w:link w:val="Style_10"/>
    <w:rPr>
      <w:rFonts w:ascii="XO Thames" w:hAnsi="XO Thames"/>
      <w:b w:val="1"/>
      <w:sz w:val="22"/>
    </w:rPr>
  </w:style>
  <w:style w:styleId="Style_11" w:type="paragraph">
    <w:name w:val="heading 1"/>
    <w:next w:val="Style_2"/>
    <w:link w:val="Style_11_ch"/>
    <w:uiPriority w:val="9"/>
    <w:qFormat/>
    <w:pPr>
      <w:spacing w:after="120" w:before="120"/>
      <w:ind/>
      <w:jc w:val="both"/>
      <w:outlineLvl w:val="0"/>
    </w:pPr>
    <w:rPr>
      <w:rFonts w:ascii="XO Thames" w:hAnsi="XO Thames"/>
      <w:b w:val="1"/>
      <w:sz w:val="32"/>
    </w:rPr>
  </w:style>
  <w:style w:styleId="Style_11_ch" w:type="character">
    <w:name w:val="heading 1"/>
    <w:link w:val="Style_11"/>
    <w:rPr>
      <w:rFonts w:ascii="XO Thames" w:hAnsi="XO Thames"/>
      <w:b w:val="1"/>
      <w:sz w:val="32"/>
    </w:rPr>
  </w:style>
  <w:style w:styleId="Style_12" w:type="paragraph">
    <w:name w:val="Hyperlink"/>
    <w:link w:val="Style_12_ch"/>
    <w:rPr>
      <w:color w:val="0000FF"/>
      <w:u w:val="single"/>
    </w:rPr>
  </w:style>
  <w:style w:styleId="Style_12_ch" w:type="character">
    <w:name w:val="Hyperlink"/>
    <w:link w:val="Style_12"/>
    <w:rPr>
      <w:color w:val="0000FF"/>
      <w:u w:val="single"/>
    </w:rPr>
  </w:style>
  <w:style w:styleId="Style_13" w:type="paragraph">
    <w:name w:val="Footnote"/>
    <w:link w:val="Style_13_ch"/>
    <w:pPr>
      <w:ind w:firstLine="851" w:left="0"/>
      <w:jc w:val="both"/>
    </w:pPr>
    <w:rPr>
      <w:rFonts w:ascii="XO Thames" w:hAnsi="XO Thames"/>
      <w:sz w:val="22"/>
    </w:rPr>
  </w:style>
  <w:style w:styleId="Style_13_ch" w:type="character">
    <w:name w:val="Footnote"/>
    <w:link w:val="Style_13"/>
    <w:rPr>
      <w:rFonts w:ascii="XO Thames" w:hAnsi="XO Thames"/>
      <w:sz w:val="22"/>
    </w:rPr>
  </w:style>
  <w:style w:styleId="Style_14" w:type="paragraph">
    <w:name w:val="Default Paragraph Font"/>
    <w:link w:val="Style_14_ch"/>
  </w:style>
  <w:style w:styleId="Style_14_ch" w:type="character">
    <w:name w:val="Default Paragraph Font"/>
    <w:link w:val="Style_14"/>
  </w:style>
  <w:style w:styleId="Style_15" w:type="paragraph">
    <w:name w:val="toc 1"/>
    <w:next w:val="Style_2"/>
    <w:link w:val="Style_15_ch"/>
    <w:uiPriority w:val="39"/>
    <w:pPr>
      <w:ind w:firstLine="0" w:left="0"/>
      <w:jc w:val="left"/>
    </w:pPr>
    <w:rPr>
      <w:rFonts w:ascii="XO Thames" w:hAnsi="XO Thames"/>
      <w:b w:val="1"/>
      <w:sz w:val="28"/>
    </w:rPr>
  </w:style>
  <w:style w:styleId="Style_15_ch" w:type="character">
    <w:name w:val="toc 1"/>
    <w:link w:val="Style_15"/>
    <w:rPr>
      <w:rFonts w:ascii="XO Thames" w:hAnsi="XO Thames"/>
      <w:b w:val="1"/>
      <w:sz w:val="28"/>
    </w:rPr>
  </w:style>
  <w:style w:styleId="Style_16" w:type="paragraph">
    <w:name w:val="Header and Footer"/>
    <w:link w:val="Style_16_ch"/>
    <w:pPr>
      <w:spacing w:line="240" w:lineRule="auto"/>
      <w:ind/>
      <w:jc w:val="both"/>
    </w:pPr>
    <w:rPr>
      <w:rFonts w:ascii="XO Thames" w:hAnsi="XO Thames"/>
      <w:sz w:val="28"/>
    </w:rPr>
  </w:style>
  <w:style w:styleId="Style_16_ch" w:type="character">
    <w:name w:val="Header and Footer"/>
    <w:link w:val="Style_16"/>
    <w:rPr>
      <w:rFonts w:ascii="XO Thames" w:hAnsi="XO Thames"/>
      <w:sz w:val="28"/>
    </w:rPr>
  </w:style>
  <w:style w:styleId="Style_17" w:type="paragraph">
    <w:name w:val="toc 9"/>
    <w:next w:val="Style_2"/>
    <w:link w:val="Style_17_ch"/>
    <w:uiPriority w:val="39"/>
    <w:pPr>
      <w:ind w:firstLine="0" w:left="1600"/>
      <w:jc w:val="left"/>
    </w:pPr>
    <w:rPr>
      <w:rFonts w:ascii="XO Thames" w:hAnsi="XO Thames"/>
      <w:sz w:val="28"/>
    </w:rPr>
  </w:style>
  <w:style w:styleId="Style_17_ch" w:type="character">
    <w:name w:val="toc 9"/>
    <w:link w:val="Style_17"/>
    <w:rPr>
      <w:rFonts w:ascii="XO Thames" w:hAnsi="XO Thames"/>
      <w:sz w:val="28"/>
    </w:rPr>
  </w:style>
  <w:style w:styleId="Style_18" w:type="paragraph">
    <w:name w:val="toc 8"/>
    <w:next w:val="Style_2"/>
    <w:link w:val="Style_18_ch"/>
    <w:uiPriority w:val="39"/>
    <w:pPr>
      <w:ind w:firstLine="0" w:left="1400"/>
      <w:jc w:val="left"/>
    </w:pPr>
    <w:rPr>
      <w:rFonts w:ascii="XO Thames" w:hAnsi="XO Thames"/>
      <w:sz w:val="28"/>
    </w:rPr>
  </w:style>
  <w:style w:styleId="Style_18_ch" w:type="character">
    <w:name w:val="toc 8"/>
    <w:link w:val="Style_18"/>
    <w:rPr>
      <w:rFonts w:ascii="XO Thames" w:hAnsi="XO Thames"/>
      <w:sz w:val="28"/>
    </w:rPr>
  </w:style>
  <w:style w:styleId="Style_19" w:type="paragraph">
    <w:name w:val="toc 5"/>
    <w:next w:val="Style_2"/>
    <w:link w:val="Style_19_ch"/>
    <w:uiPriority w:val="39"/>
    <w:pPr>
      <w:ind w:firstLine="0" w:left="800"/>
      <w:jc w:val="left"/>
    </w:pPr>
    <w:rPr>
      <w:rFonts w:ascii="XO Thames" w:hAnsi="XO Thames"/>
      <w:sz w:val="28"/>
    </w:rPr>
  </w:style>
  <w:style w:styleId="Style_19_ch" w:type="character">
    <w:name w:val="toc 5"/>
    <w:link w:val="Style_19"/>
    <w:rPr>
      <w:rFonts w:ascii="XO Thames" w:hAnsi="XO Thames"/>
      <w:sz w:val="28"/>
    </w:rPr>
  </w:style>
  <w:style w:styleId="Style_20" w:type="paragraph">
    <w:name w:val="Subtitle"/>
    <w:next w:val="Style_2"/>
    <w:link w:val="Style_20_ch"/>
    <w:uiPriority w:val="11"/>
    <w:qFormat/>
    <w:pPr>
      <w:ind/>
      <w:jc w:val="both"/>
    </w:pPr>
    <w:rPr>
      <w:rFonts w:ascii="XO Thames" w:hAnsi="XO Thames"/>
      <w:i w:val="1"/>
      <w:sz w:val="24"/>
    </w:rPr>
  </w:style>
  <w:style w:styleId="Style_20_ch" w:type="character">
    <w:name w:val="Subtitle"/>
    <w:link w:val="Style_20"/>
    <w:rPr>
      <w:rFonts w:ascii="XO Thames" w:hAnsi="XO Thames"/>
      <w:i w:val="1"/>
      <w:sz w:val="24"/>
    </w:rPr>
  </w:style>
  <w:style w:styleId="Style_21" w:type="paragraph">
    <w:name w:val="Title"/>
    <w:next w:val="Style_2"/>
    <w:link w:val="Style_21_ch"/>
    <w:uiPriority w:val="10"/>
    <w:qFormat/>
    <w:pPr>
      <w:spacing w:after="567" w:before="567"/>
      <w:ind/>
      <w:jc w:val="center"/>
    </w:pPr>
    <w:rPr>
      <w:rFonts w:ascii="XO Thames" w:hAnsi="XO Thames"/>
      <w:b w:val="1"/>
      <w:caps w:val="1"/>
      <w:sz w:val="40"/>
    </w:rPr>
  </w:style>
  <w:style w:styleId="Style_21_ch" w:type="character">
    <w:name w:val="Title"/>
    <w:link w:val="Style_21"/>
    <w:rPr>
      <w:rFonts w:ascii="XO Thames" w:hAnsi="XO Thames"/>
      <w:b w:val="1"/>
      <w:caps w:val="1"/>
      <w:sz w:val="40"/>
    </w:rPr>
  </w:style>
  <w:style w:styleId="Style_22" w:type="paragraph">
    <w:name w:val="heading 4"/>
    <w:next w:val="Style_2"/>
    <w:link w:val="Style_22_ch"/>
    <w:uiPriority w:val="9"/>
    <w:qFormat/>
    <w:pPr>
      <w:spacing w:after="120" w:before="120"/>
      <w:ind/>
      <w:jc w:val="both"/>
      <w:outlineLvl w:val="3"/>
    </w:pPr>
    <w:rPr>
      <w:rFonts w:ascii="XO Thames" w:hAnsi="XO Thames"/>
      <w:b w:val="1"/>
      <w:sz w:val="24"/>
    </w:rPr>
  </w:style>
  <w:style w:styleId="Style_22_ch" w:type="character">
    <w:name w:val="heading 4"/>
    <w:link w:val="Style_22"/>
    <w:rPr>
      <w:rFonts w:ascii="XO Thames" w:hAnsi="XO Thames"/>
      <w:b w:val="1"/>
      <w:sz w:val="24"/>
    </w:rPr>
  </w:style>
  <w:style w:styleId="Style_23" w:type="paragraph">
    <w:name w:val="heading 2"/>
    <w:next w:val="Style_2"/>
    <w:link w:val="Style_23_ch"/>
    <w:uiPriority w:val="9"/>
    <w:qFormat/>
    <w:pPr>
      <w:spacing w:after="120" w:before="120"/>
      <w:ind/>
      <w:jc w:val="both"/>
      <w:outlineLvl w:val="1"/>
    </w:pPr>
    <w:rPr>
      <w:rFonts w:ascii="XO Thames" w:hAnsi="XO Thames"/>
      <w:b w:val="1"/>
      <w:sz w:val="28"/>
    </w:rPr>
  </w:style>
  <w:style w:styleId="Style_23_ch" w:type="character">
    <w:name w:val="heading 2"/>
    <w:link w:val="Style_23"/>
    <w:rPr>
      <w:rFonts w:ascii="XO Thames" w:hAnsi="XO Thames"/>
      <w:b w:val="1"/>
      <w:sz w:val="28"/>
    </w:rPr>
  </w:style>
  <w:style w:styleId="Style_1" w:type="table">
    <w:name w:val="Table Grid"/>
    <w:basedOn w:val="Style_24"/>
    <w:pPr>
      <w:widowControl w:val="1"/>
      <w:spacing w:after="0" w:line="240" w:lineRule="auto"/>
      <w:ind/>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24"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2025-12-01T13:08:35Z</dcterms:created>
  <dcterms:modified xsi:type="dcterms:W3CDTF">2025-12-01T13:08:35Z</dcterms:modified>
</cp:coreProperties>
</file>