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pStyle w:val="Style_2"/>
        <w:keepNext w:val="1"/>
        <w:keepLines w:val="1"/>
        <w:widowControl w:val="0"/>
        <w:spacing w:after="300" w:before="0" w:line="240" w:lineRule="auto"/>
        <w:ind/>
        <w:jc w:val="right"/>
        <w:rPr>
          <w:rFonts w:ascii="Times New Roman" w:hAnsi="Times New Roman"/>
          <w:sz w:val="22"/>
        </w:rPr>
      </w:pPr>
      <w:bookmarkStart w:id="1" w:name="bookmark0"/>
      <w:r>
        <w:rPr>
          <w:rFonts w:ascii="Times New Roman" w:hAnsi="Times New Roman"/>
          <w:sz w:val="22"/>
        </w:rPr>
        <w:t>тип ДС</w:t>
      </w:r>
      <w:bookmarkEnd w:id="1"/>
      <w:r>
        <w:rPr>
          <w:rFonts w:ascii="Times New Roman" w:hAnsi="Times New Roman"/>
          <w:b w:val="0"/>
          <w:sz w:val="22"/>
        </w:rPr>
        <w:t>-1</w:t>
      </w:r>
    </w:p>
    <w:p w14:paraId="04000000">
      <w:pPr>
        <w:pStyle w:val="Style_3"/>
        <w:widowControl w:val="0"/>
        <w:spacing w:after="60" w:before="0" w:line="240" w:lineRule="auto"/>
        <w:ind w:firstLine="0" w:left="0" w:right="0"/>
        <w:jc w:val="center"/>
        <w:rPr>
          <w:rFonts w:ascii="Times New Roman" w:hAnsi="Times New Roman"/>
          <w:sz w:val="22"/>
        </w:rPr>
      </w:pPr>
      <w:r>
        <w:rPr>
          <w:rFonts w:ascii="Times New Roman" w:hAnsi="Times New Roman"/>
          <w:b w:val="1"/>
          <w:sz w:val="22"/>
        </w:rPr>
        <w:t>ДОГОВОР ДОЛГОСРОЧНЫХ СБЕРЕЖЕНИЙ</w:t>
      </w:r>
    </w:p>
    <w:p w14:paraId="05000000">
      <w:pPr>
        <w:pStyle w:val="Style_3"/>
        <w:widowControl w:val="0"/>
        <w:tabs>
          <w:tab w:leader="none" w:pos="720" w:val="clear"/>
          <w:tab w:leader="none" w:pos="1782" w:val="left"/>
          <w:tab w:leader="none" w:pos="2784" w:val="left"/>
          <w:tab w:leader="none" w:pos="3706" w:val="left"/>
        </w:tabs>
        <w:spacing w:after="300" w:before="0" w:line="240" w:lineRule="auto"/>
        <w:ind w:firstLine="0" w:left="0" w:right="0"/>
        <w:jc w:val="center"/>
        <w:rPr>
          <w:rFonts w:ascii="Times New Roman" w:hAnsi="Times New Roman"/>
          <w:sz w:val="22"/>
        </w:rPr>
      </w:pPr>
      <w:r>
        <w:rPr>
          <w:rFonts w:ascii="Times New Roman" w:hAnsi="Times New Roman"/>
          <w:b w:val="1"/>
          <w:sz w:val="22"/>
        </w:rPr>
        <w:t xml:space="preserve">№ </w:t>
      </w:r>
      <w:r>
        <w:rPr>
          <w:rFonts w:ascii="Times New Roman" w:hAnsi="Times New Roman"/>
          <w:b w:val="1"/>
          <w:sz w:val="22"/>
        </w:rPr>
        <w:t>Д ________________</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w:t>
      </w:r>
      <w:r>
        <w:rPr>
          <w:rFonts w:ascii="Times New Roman" w:hAnsi="Times New Roman"/>
          <w:sz w:val="22"/>
        </w:rPr>
        <w:tab/>
      </w:r>
      <w:r>
        <w:rPr>
          <w:rFonts w:ascii="Times New Roman" w:hAnsi="Times New Roman"/>
          <w:sz w:val="22"/>
        </w:rPr>
        <w:t>»</w:t>
      </w:r>
      <w:r>
        <w:rPr>
          <w:rFonts w:ascii="Times New Roman" w:hAnsi="Times New Roman"/>
          <w:sz w:val="22"/>
        </w:rPr>
        <w:tab/>
      </w:r>
      <w:r>
        <w:rPr>
          <w:rFonts w:ascii="Times New Roman" w:hAnsi="Times New Roman"/>
          <w:sz w:val="22"/>
        </w:rPr>
        <w:t>202___ г.</w:t>
      </w:r>
    </w:p>
    <w:p w14:paraId="06000000">
      <w:pPr>
        <w:pStyle w:val="Style_3"/>
        <w:widowControl w:val="0"/>
        <w:tabs>
          <w:tab w:leader="none" w:pos="720" w:val="clear"/>
          <w:tab w:leader="none" w:pos="7798" w:val="left"/>
        </w:tabs>
        <w:spacing w:line="276" w:lineRule="auto"/>
        <w:ind w:firstLine="0" w:left="0" w:right="0"/>
        <w:jc w:val="both"/>
        <w:rPr>
          <w:rFonts w:ascii="Times New Roman" w:hAnsi="Times New Roman"/>
          <w:sz w:val="22"/>
        </w:rPr>
      </w:pPr>
      <w:r>
        <w:rPr>
          <w:rFonts w:ascii="Times New Roman" w:hAnsi="Times New Roman"/>
          <w:sz w:val="22"/>
        </w:rPr>
        <w:t>Акционерное общество Негосударственный пенсионный фонд «Атомгарант», именуемое в дальнейшем Фонд, действующее на основании лицензии от 15.03.2007 № 202/2, в лице_______________________________________________________________, действующего(ей) на основании _____________________________________________________________________, с одной стороны и</w:t>
      </w:r>
    </w:p>
    <w:p w14:paraId="07000000">
      <w:pPr>
        <w:pStyle w:val="Style_4"/>
        <w:widowControl w:val="0"/>
        <w:spacing w:after="0" w:before="0"/>
        <w:ind w:firstLine="0" w:left="0" w:right="0"/>
        <w:jc w:val="center"/>
        <w:rPr>
          <w:rFonts w:ascii="Times New Roman" w:hAnsi="Times New Roman"/>
          <w:sz w:val="22"/>
        </w:rPr>
      </w:pPr>
      <w:r>
        <w:rPr>
          <w:rFonts w:ascii="Times New Roman" w:hAnsi="Times New Roman"/>
          <w:sz w:val="22"/>
        </w:rPr>
        <w:t xml:space="preserve">______________________________________________________________________________________________, </w:t>
      </w:r>
    </w:p>
    <w:p w14:paraId="08000000">
      <w:pPr>
        <w:pStyle w:val="Style_4"/>
        <w:widowControl w:val="0"/>
        <w:spacing w:after="0" w:before="0"/>
        <w:ind w:firstLine="0" w:left="0" w:right="0"/>
        <w:jc w:val="center"/>
        <w:rPr>
          <w:rFonts w:ascii="Times New Roman" w:hAnsi="Times New Roman"/>
          <w:sz w:val="22"/>
        </w:rPr>
      </w:pPr>
      <w:r>
        <w:rPr>
          <w:rFonts w:ascii="Times New Roman" w:hAnsi="Times New Roman"/>
          <w:i w:val="1"/>
          <w:sz w:val="22"/>
        </w:rPr>
        <w:t>(фамилия, имя, отчество)</w:t>
      </w:r>
    </w:p>
    <w:p w14:paraId="09000000">
      <w:pPr>
        <w:pStyle w:val="Style_3"/>
        <w:widowControl w:val="0"/>
        <w:tabs>
          <w:tab w:leader="none" w:pos="720" w:val="clear"/>
          <w:tab w:leader="none" w:pos="7798" w:val="left"/>
        </w:tabs>
        <w:spacing w:line="276" w:lineRule="auto"/>
        <w:ind w:firstLine="0" w:left="0" w:right="0"/>
        <w:jc w:val="both"/>
        <w:rPr>
          <w:rFonts w:ascii="Times New Roman" w:hAnsi="Times New Roman"/>
          <w:sz w:val="22"/>
        </w:rPr>
      </w:pPr>
      <w:r>
        <w:rPr>
          <w:rFonts w:ascii="Times New Roman" w:hAnsi="Times New Roman"/>
          <w:sz w:val="22"/>
        </w:rPr>
        <w:t>именуемый(ая) в дальнейшем Вкладчик, с другой стороны, в дальнейшем совместно именуемые Стороны, а по отдельности – Сторона, заключили настоящий Договор долгосрочных сбережений (далее – Договор) о нижеследующем:</w:t>
      </w:r>
    </w:p>
    <w:p w14:paraId="0A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2" w:name="bookmark2"/>
      <w:r>
        <w:rPr>
          <w:rFonts w:ascii="Times New Roman" w:hAnsi="Times New Roman"/>
          <w:b w:val="1"/>
          <w:sz w:val="22"/>
        </w:rPr>
        <w:t>ПРЕДМЕТ ДОГОВОРА</w:t>
      </w:r>
      <w:bookmarkEnd w:id="2"/>
    </w:p>
    <w:p w14:paraId="0B000000">
      <w:pPr>
        <w:pStyle w:val="Style_3"/>
        <w:widowControl w:val="0"/>
        <w:numPr>
          <w:ilvl w:val="1"/>
          <w:numId w:val="1"/>
        </w:numPr>
        <w:tabs>
          <w:tab w:leader="none" w:pos="720" w:val="clear"/>
          <w:tab w:leader="none" w:pos="1182" w:val="left"/>
        </w:tabs>
        <w:ind w:firstLine="600" w:left="0" w:right="0"/>
        <w:jc w:val="both"/>
        <w:rPr>
          <w:rFonts w:ascii="Times New Roman" w:hAnsi="Times New Roman"/>
          <w:sz w:val="22"/>
        </w:rPr>
      </w:pPr>
      <w:r>
        <w:rPr>
          <w:rFonts w:ascii="Times New Roman" w:hAnsi="Times New Roman"/>
          <w:sz w:val="22"/>
        </w:rPr>
        <w:t xml:space="preserve">Вкладчик заключает Договор </w:t>
      </w:r>
      <w:r>
        <w:rPr>
          <w:rFonts w:ascii="Times New Roman" w:hAnsi="Times New Roman"/>
          <w:b w:val="1"/>
          <w:sz w:val="22"/>
        </w:rPr>
        <w:t>ДС № 1 «С произвольным порядком уплаты сберегательных взносов»</w:t>
      </w:r>
      <w:r>
        <w:rPr>
          <w:rFonts w:ascii="Times New Roman" w:hAnsi="Times New Roman"/>
          <w:sz w:val="22"/>
        </w:rPr>
        <w:t xml:space="preserve"> в свою пользу, и одновременно является Участником.</w:t>
      </w:r>
    </w:p>
    <w:p w14:paraId="0C000000">
      <w:pPr>
        <w:pStyle w:val="Style_3"/>
        <w:widowControl w:val="0"/>
        <w:numPr>
          <w:ilvl w:val="1"/>
          <w:numId w:val="1"/>
        </w:numPr>
        <w:tabs>
          <w:tab w:leader="none" w:pos="720" w:val="clear"/>
          <w:tab w:leader="none" w:pos="1143" w:val="left"/>
        </w:tabs>
        <w:ind w:firstLine="600" w:left="0" w:right="0"/>
        <w:jc w:val="both"/>
        <w:rPr>
          <w:rFonts w:ascii="Times New Roman" w:hAnsi="Times New Roman"/>
          <w:sz w:val="22"/>
        </w:rPr>
      </w:pPr>
      <w:r>
        <w:rPr>
          <w:rFonts w:ascii="Times New Roman" w:hAnsi="Times New Roman"/>
          <w:sz w:val="22"/>
        </w:rPr>
        <w:t>Предметом Договора является формирование долгосрочных сбережений Участника на условиях, определенных настоящим Договором, Правилами Фонда, иными нормативными документами Фонда и законодательством Российской Федерации.</w:t>
      </w:r>
    </w:p>
    <w:p w14:paraId="0D000000">
      <w:pPr>
        <w:pStyle w:val="Style_3"/>
        <w:widowControl w:val="0"/>
        <w:numPr>
          <w:ilvl w:val="1"/>
          <w:numId w:val="1"/>
        </w:numPr>
        <w:tabs>
          <w:tab w:leader="none" w:pos="720" w:val="clear"/>
          <w:tab w:leader="none" w:pos="1143" w:val="left"/>
        </w:tabs>
        <w:ind w:firstLine="600" w:left="0" w:right="0"/>
        <w:jc w:val="both"/>
        <w:rPr>
          <w:rFonts w:ascii="Times New Roman" w:hAnsi="Times New Roman"/>
          <w:sz w:val="22"/>
        </w:rPr>
      </w:pPr>
      <w:r>
        <w:rPr>
          <w:rFonts w:ascii="Times New Roman" w:hAnsi="Times New Roman"/>
          <w:sz w:val="22"/>
        </w:rPr>
        <w:t>Формирование долгосрочных сбережений Участника осуществляется за счет сберегательных взносов и дохода от размещения пенсионных резервов по Договору.</w:t>
      </w:r>
    </w:p>
    <w:p w14:paraId="0E000000">
      <w:pPr>
        <w:pStyle w:val="Style_3"/>
        <w:widowControl w:val="0"/>
        <w:numPr>
          <w:ilvl w:val="1"/>
          <w:numId w:val="1"/>
        </w:numPr>
        <w:tabs>
          <w:tab w:leader="none" w:pos="720" w:val="clear"/>
          <w:tab w:leader="none" w:pos="1143" w:val="left"/>
        </w:tabs>
        <w:ind w:firstLine="600" w:left="0" w:right="0"/>
        <w:jc w:val="both"/>
        <w:rPr>
          <w:rFonts w:ascii="Times New Roman" w:hAnsi="Times New Roman"/>
          <w:sz w:val="22"/>
        </w:rPr>
      </w:pPr>
      <w:r>
        <w:rPr>
          <w:rFonts w:ascii="Times New Roman" w:hAnsi="Times New Roman"/>
          <w:sz w:val="22"/>
        </w:rPr>
        <w:t>Стороны принимают на себя обязательства по соблюдению порядка и условий формирования долгосрочных сбережений, определенных Правилами Фонда.</w:t>
      </w:r>
    </w:p>
    <w:p w14:paraId="0F000000">
      <w:pPr>
        <w:pStyle w:val="Style_3"/>
        <w:widowControl w:val="0"/>
        <w:numPr>
          <w:ilvl w:val="1"/>
          <w:numId w:val="1"/>
        </w:numPr>
        <w:tabs>
          <w:tab w:leader="none" w:pos="720" w:val="clear"/>
          <w:tab w:leader="none" w:pos="1143" w:val="left"/>
          <w:tab w:leader="none" w:pos="1782" w:val="left"/>
          <w:tab w:leader="none" w:pos="3341" w:val="left"/>
          <w:tab w:leader="none" w:pos="6036" w:val="left"/>
          <w:tab w:leader="none" w:pos="7771" w:val="left"/>
        </w:tabs>
        <w:ind w:firstLine="600" w:left="0" w:right="0"/>
        <w:jc w:val="both"/>
        <w:rPr>
          <w:rFonts w:ascii="Times New Roman" w:hAnsi="Times New Roman"/>
          <w:sz w:val="22"/>
        </w:rPr>
      </w:pPr>
      <w:r>
        <w:rPr>
          <w:rFonts w:ascii="Times New Roman" w:hAnsi="Times New Roman"/>
          <w:sz w:val="22"/>
        </w:rPr>
        <w:t>Основные термины, используемые в настоящем Договоре, определяются Правилами Фонда.</w:t>
      </w:r>
    </w:p>
    <w:p w14:paraId="10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3" w:name="bookmark5"/>
      <w:r>
        <w:rPr>
          <w:rFonts w:ascii="Times New Roman" w:hAnsi="Times New Roman"/>
          <w:b w:val="1"/>
          <w:sz w:val="22"/>
        </w:rPr>
        <w:t>ПОРЯДОК И УСЛОВИЯ ВНЕСЕНИЯ СБЕРЕГАТЕЛЬНЫХ ВЗНОСОВ</w:t>
      </w:r>
      <w:bookmarkEnd w:id="3"/>
    </w:p>
    <w:p w14:paraId="11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По Договору вносятся сберегательные взносы следующих видов:</w:t>
      </w:r>
    </w:p>
    <w:p w14:paraId="12000000">
      <w:pPr>
        <w:pStyle w:val="Style_3"/>
        <w:widowControl w:val="0"/>
        <w:numPr>
          <w:ilvl w:val="0"/>
          <w:numId w:val="2"/>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взносы, уплаченные Вкладчиком в свою пользу (личные сберегательные взносы);</w:t>
      </w:r>
    </w:p>
    <w:p w14:paraId="13000000">
      <w:pPr>
        <w:pStyle w:val="Style_3"/>
        <w:widowControl w:val="0"/>
        <w:numPr>
          <w:ilvl w:val="0"/>
          <w:numId w:val="2"/>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дополнительные стимулирующие взносы;</w:t>
      </w:r>
    </w:p>
    <w:p w14:paraId="14000000">
      <w:pPr>
        <w:pStyle w:val="Style_3"/>
        <w:widowControl w:val="0"/>
        <w:numPr>
          <w:ilvl w:val="0"/>
          <w:numId w:val="2"/>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единовременный взнос.</w:t>
      </w:r>
    </w:p>
    <w:p w14:paraId="15000000">
      <w:pPr>
        <w:pStyle w:val="Style_3"/>
        <w:widowControl w:val="0"/>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В накопительный период периодичность, сроки и продолжительность уплаты личных сберегательных взносов определяются Вкладчиком и являются произвольными.</w:t>
      </w:r>
    </w:p>
    <w:p w14:paraId="16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Размер личного сберегательного взноса по Договору является произвольным.</w:t>
      </w:r>
    </w:p>
    <w:p w14:paraId="17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Уплата Вкладчиком сберегательных взносов, установленных п. 2.2 настоящего Договора, осуществляется денежными средствами.</w:t>
      </w:r>
    </w:p>
    <w:p w14:paraId="18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Сберегательные взносы уплачиваются безналичными перечислениями на расчетный счет Фонда, указанный в разделе 14 настоящего Договора.</w:t>
      </w:r>
    </w:p>
    <w:p w14:paraId="19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 xml:space="preserve">Средства пенсионных накоплений могут быть переведены в качестве единовременного взноса по Договору только в случае получения Фондом информации от Фонда пенсионного и социального страхования Российской Федерации о возможности удовлетворения заявления о единовременном взносе. </w:t>
      </w:r>
    </w:p>
    <w:p w14:paraId="1A000000">
      <w:pPr>
        <w:pStyle w:val="Style_3"/>
        <w:widowControl w:val="0"/>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Указанный перевод осуществляется не позднее 31</w:t>
      </w:r>
      <w:r>
        <w:rPr>
          <w:sz w:val="25"/>
        </w:rPr>
        <w:t xml:space="preserve"> </w:t>
      </w:r>
      <w:r>
        <w:rPr>
          <w:rFonts w:ascii="Times New Roman" w:hAnsi="Times New Roman"/>
          <w:sz w:val="22"/>
        </w:rPr>
        <w:t>марта года, следующего за годом подачи заявления о единовременном взносе в размере, отраженном на пенсионном счете накопительной пенсии застрахованного лица по состоянию на 31 декабря года подачи заявления о единовременном взносе (за вычетом средств (части средств) материнского (семейного) капитала, включая доход, полученный от их инвестирования).</w:t>
      </w:r>
    </w:p>
    <w:p w14:paraId="1B000000">
      <w:pPr>
        <w:pStyle w:val="Style_3"/>
        <w:widowControl w:val="1"/>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Вкладчик, заключивший Договор с Фондом имеет право на получение государственной поддержки формирования долгосрочных сбережений в виде дополнительных стимулирующих взносов в порядке, установленном законодательством Российской Федерации  (при условии внесения в предыдущем календарном году личного сберегательного взноса не менее двух тысяч рублей без учета суммы единовременного взноса, а также выкупных сумм, полученных от другого фонда).</w:t>
      </w:r>
    </w:p>
    <w:p w14:paraId="1C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4" w:name="bookmark7"/>
      <w:r>
        <w:rPr>
          <w:rFonts w:ascii="Times New Roman" w:hAnsi="Times New Roman"/>
          <w:b w:val="1"/>
          <w:sz w:val="22"/>
        </w:rPr>
        <w:t>ОСНОВАНИЯ НАЗНАЧЕНИЯ ПЕРИОДИЧЕСКИХ ВЫПЛАТ ПО ДОГОВОРУ</w:t>
      </w:r>
      <w:bookmarkEnd w:id="4"/>
    </w:p>
    <w:p w14:paraId="1D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Право на получение периодической выплаты по Договору имеет Участник при наличии хотя бы одного из следующих условий:</w:t>
      </w:r>
    </w:p>
    <w:p w14:paraId="1E000000">
      <w:pPr>
        <w:pStyle w:val="Style_3"/>
        <w:widowControl w:val="0"/>
        <w:numPr>
          <w:ilvl w:val="0"/>
          <w:numId w:val="3"/>
        </w:numPr>
        <w:tabs>
          <w:tab w:leader="none" w:pos="720" w:val="clear"/>
          <w:tab w:leader="none" w:pos="894" w:val="left"/>
          <w:tab w:leader="none" w:pos="993" w:val="left"/>
        </w:tabs>
        <w:ind w:firstLine="567" w:left="0" w:right="0"/>
        <w:jc w:val="both"/>
        <w:rPr>
          <w:rFonts w:ascii="Times New Roman" w:hAnsi="Times New Roman"/>
          <w:sz w:val="22"/>
        </w:rPr>
      </w:pPr>
      <w:r>
        <w:rPr>
          <w:rFonts w:ascii="Times New Roman" w:hAnsi="Times New Roman"/>
          <w:sz w:val="22"/>
        </w:rPr>
        <w:t>достижение Участником возраста 60 лет (для мужчин) или 55 лет (для женщин);</w:t>
      </w:r>
    </w:p>
    <w:p w14:paraId="1F000000">
      <w:pPr>
        <w:pStyle w:val="Style_3"/>
        <w:widowControl w:val="0"/>
        <w:numPr>
          <w:ilvl w:val="0"/>
          <w:numId w:val="3"/>
        </w:numPr>
        <w:tabs>
          <w:tab w:leader="none" w:pos="720" w:val="clear"/>
          <w:tab w:leader="none" w:pos="884" w:val="left"/>
          <w:tab w:leader="none" w:pos="993" w:val="left"/>
        </w:tabs>
        <w:ind w:firstLine="567" w:left="0" w:right="0"/>
        <w:jc w:val="both"/>
        <w:rPr>
          <w:rFonts w:ascii="Times New Roman" w:hAnsi="Times New Roman"/>
          <w:sz w:val="22"/>
        </w:rPr>
      </w:pPr>
      <w:r>
        <w:rPr>
          <w:rFonts w:ascii="Times New Roman" w:hAnsi="Times New Roman"/>
          <w:sz w:val="22"/>
        </w:rPr>
        <w:t>истечение 15 лет с наиболее ранней даты заключения договора долгосрочных сбережений в пользу Участника. При расчете указанного срока учитывается срок действия одного либо нескольких последовательно заключенных в пользу Участника договоров долгосрочных сбережений, по которым сберегательные взносы уплачивались, в том числе за счет перевода выкупной суммы при расторжении (прекращении) договора долгосрочных сбережений, заключенного с предыдущим фондом. В случае, если Вкладчиком (Участником) последовательно заключалось несколько договоров долгосрочных сбережений, указанный срок исчисляется с даты заключения первого из указанных договоров.</w:t>
      </w:r>
    </w:p>
    <w:p w14:paraId="20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bookmarkStart w:id="5" w:name="bookmark9"/>
      <w:r>
        <w:rPr>
          <w:rFonts w:ascii="Times New Roman" w:hAnsi="Times New Roman"/>
          <w:sz w:val="22"/>
        </w:rPr>
        <w:t>Периодические выплаты по Договору назначаются Участнику при наличии средств, учтенных на счете долгосрочных сбережений (далее - ДС), открытом Фондом в отношении указанного Участника, со дня обращения за ними, но не ранее чем со дня возникновения права на получение указанных выплат.</w:t>
      </w:r>
      <w:bookmarkEnd w:id="5"/>
    </w:p>
    <w:p w14:paraId="21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6" w:name="bookmark10"/>
      <w:r>
        <w:rPr>
          <w:rFonts w:ascii="Times New Roman" w:hAnsi="Times New Roman"/>
          <w:b w:val="1"/>
          <w:sz w:val="22"/>
        </w:rPr>
        <w:t>НАЗНАЧЕНИЕ И ПОРЯДОК ОСУЩЕСТВЛЕНИЯ ВЫПЛАТ ПО ДОГОВОРУ</w:t>
      </w:r>
      <w:bookmarkEnd w:id="6"/>
    </w:p>
    <w:p w14:paraId="22000000">
      <w:pPr>
        <w:pStyle w:val="Style_3"/>
        <w:widowControl w:val="0"/>
        <w:numPr>
          <w:ilvl w:val="1"/>
          <w:numId w:val="1"/>
        </w:numPr>
        <w:tabs>
          <w:tab w:leader="none" w:pos="720" w:val="clear"/>
          <w:tab w:leader="none" w:pos="993" w:val="left"/>
        </w:tabs>
        <w:spacing w:line="240" w:lineRule="auto"/>
        <w:ind w:firstLine="567" w:left="0" w:right="0"/>
        <w:jc w:val="both"/>
        <w:rPr>
          <w:rFonts w:ascii="Times New Roman" w:hAnsi="Times New Roman"/>
          <w:sz w:val="22"/>
        </w:rPr>
      </w:pPr>
      <w:r>
        <w:rPr>
          <w:rFonts w:ascii="Times New Roman" w:hAnsi="Times New Roman"/>
          <w:sz w:val="22"/>
        </w:rPr>
        <w:t>Периодические выплаты по договору долгосрочных сбережений, назначаемые после приобретения права на указанные выплаты (раздел 3 настоящего Договора), по выбору Участника:</w:t>
      </w:r>
    </w:p>
    <w:p w14:paraId="23000000">
      <w:pPr>
        <w:pStyle w:val="Style_3"/>
        <w:widowControl w:val="0"/>
        <w:numPr>
          <w:ilvl w:val="0"/>
          <w:numId w:val="4"/>
        </w:numPr>
        <w:tabs>
          <w:tab w:leader="none" w:pos="720" w:val="clear"/>
          <w:tab w:leader="none" w:pos="851" w:val="left"/>
          <w:tab w:leader="none" w:pos="993" w:val="left"/>
        </w:tabs>
        <w:spacing w:line="240" w:lineRule="auto"/>
        <w:ind w:firstLine="567" w:left="0" w:right="0"/>
        <w:jc w:val="both"/>
        <w:rPr>
          <w:rFonts w:ascii="Times New Roman" w:hAnsi="Times New Roman"/>
          <w:sz w:val="22"/>
        </w:rPr>
      </w:pPr>
      <w:r>
        <w:rPr>
          <w:rFonts w:ascii="Times New Roman" w:hAnsi="Times New Roman"/>
          <w:sz w:val="22"/>
        </w:rPr>
        <w:t>пожизненные периодические выплаты;</w:t>
      </w:r>
    </w:p>
    <w:p w14:paraId="24000000">
      <w:pPr>
        <w:pStyle w:val="Style_6"/>
        <w:widowControl w:val="0"/>
        <w:numPr>
          <w:ilvl w:val="0"/>
          <w:numId w:val="4"/>
        </w:numPr>
        <w:tabs>
          <w:tab w:leader="none" w:pos="720" w:val="clear"/>
          <w:tab w:leader="none" w:pos="851" w:val="left"/>
          <w:tab w:leader="none" w:pos="993" w:val="left"/>
        </w:tabs>
        <w:spacing w:after="0" w:before="0"/>
        <w:ind w:firstLine="567" w:left="0" w:right="0"/>
        <w:contextualSpacing w:val="1"/>
      </w:pPr>
      <w:r>
        <w:t>на срок не менее 10 лет (120 месяцев) со дня их назначения (срочные периодические выплаты).</w:t>
      </w:r>
    </w:p>
    <w:p w14:paraId="25000000">
      <w:pPr>
        <w:pStyle w:val="Style_5"/>
        <w:widowControl w:val="1"/>
        <w:ind w:firstLine="567" w:left="0" w:right="0"/>
        <w:jc w:val="both"/>
        <w:rPr>
          <w:rFonts w:ascii="Times New Roman" w:hAnsi="Times New Roman"/>
          <w:sz w:val="22"/>
        </w:rPr>
      </w:pPr>
      <w:r>
        <w:rPr>
          <w:rFonts w:ascii="Times New Roman" w:hAnsi="Times New Roman"/>
          <w:sz w:val="22"/>
        </w:rPr>
        <w:t>Если размер пожизненных периодических выплат, в случае их назначения, составил бы менее 10 процентов действующего на дату обращения Участника за назначением периодических выплат по настоящему Договору прожиточного минимума пенсионера в целом по Российской Федерации, Участнику осуществляется единовременная выплата по настоящему Договору в размере остатка средств на его счете ДС.</w:t>
      </w:r>
    </w:p>
    <w:p w14:paraId="26000000">
      <w:pPr>
        <w:pStyle w:val="Style_3"/>
        <w:widowControl w:val="0"/>
        <w:numPr>
          <w:ilvl w:val="1"/>
          <w:numId w:val="1"/>
        </w:numPr>
        <w:tabs>
          <w:tab w:leader="none" w:pos="720" w:val="clear"/>
          <w:tab w:leader="none" w:pos="993" w:val="left"/>
        </w:tabs>
        <w:spacing w:line="240" w:lineRule="auto"/>
        <w:ind w:firstLine="567" w:left="0" w:right="0"/>
        <w:jc w:val="both"/>
        <w:rPr>
          <w:rFonts w:ascii="Times New Roman" w:hAnsi="Times New Roman"/>
          <w:sz w:val="22"/>
        </w:rPr>
      </w:pPr>
      <w:r>
        <w:rPr>
          <w:rFonts w:ascii="Times New Roman" w:hAnsi="Times New Roman"/>
          <w:sz w:val="22"/>
        </w:rPr>
        <w:t>Взамен назначения периодических выплат, предусмотренных п.4.1 настоящего Договора Участник вправе выбрать следующие выплаты:</w:t>
      </w:r>
    </w:p>
    <w:p w14:paraId="27000000">
      <w:pPr>
        <w:pStyle w:val="Style_3"/>
        <w:widowControl w:val="0"/>
        <w:numPr>
          <w:ilvl w:val="3"/>
          <w:numId w:val="4"/>
        </w:numPr>
        <w:tabs>
          <w:tab w:leader="none" w:pos="720" w:val="clear"/>
          <w:tab w:leader="none" w:pos="993" w:val="left"/>
        </w:tabs>
        <w:spacing w:line="240" w:lineRule="auto"/>
        <w:ind w:firstLine="567" w:left="0" w:right="0"/>
        <w:jc w:val="both"/>
        <w:rPr>
          <w:rFonts w:ascii="Times New Roman" w:hAnsi="Times New Roman"/>
          <w:sz w:val="22"/>
        </w:rPr>
      </w:pPr>
      <w:r>
        <w:rPr>
          <w:rFonts w:ascii="Times New Roman" w:hAnsi="Times New Roman"/>
          <w:sz w:val="22"/>
        </w:rPr>
        <w:t>срочные периодические выплаты – денежные средства, регулярно выплачиваемые Участнику не менее 2-х лет (24 месяцев)) со дня их назначения).</w:t>
      </w:r>
    </w:p>
    <w:p w14:paraId="28000000">
      <w:pPr>
        <w:pStyle w:val="Style_3"/>
        <w:widowControl w:val="0"/>
        <w:numPr>
          <w:ilvl w:val="3"/>
          <w:numId w:val="4"/>
        </w:numPr>
        <w:tabs>
          <w:tab w:leader="none" w:pos="720" w:val="clear"/>
          <w:tab w:leader="none" w:pos="993" w:val="left"/>
        </w:tabs>
        <w:spacing w:line="240" w:lineRule="auto"/>
        <w:ind w:firstLine="567" w:left="0" w:right="0"/>
        <w:jc w:val="both"/>
        <w:rPr>
          <w:rFonts w:ascii="Times New Roman" w:hAnsi="Times New Roman"/>
          <w:sz w:val="22"/>
        </w:rPr>
      </w:pPr>
      <w:r>
        <w:rPr>
          <w:rFonts w:ascii="Times New Roman" w:hAnsi="Times New Roman"/>
          <w:sz w:val="22"/>
        </w:rPr>
        <w:t>единовременной выплаты по Договору независимо от соблюдения условий, предусмотренных абз.2 пп.2) п.4.1 настоящего Договора, в размере остатка средств на счете долгосрочных сбережений участника.</w:t>
      </w:r>
    </w:p>
    <w:p w14:paraId="29000000">
      <w:pPr>
        <w:pStyle w:val="Style_3"/>
        <w:widowControl w:val="0"/>
        <w:tabs>
          <w:tab w:leader="none" w:pos="720" w:val="clear"/>
          <w:tab w:leader="none" w:pos="851" w:val="left"/>
          <w:tab w:leader="none" w:pos="993" w:val="left"/>
        </w:tabs>
        <w:spacing w:line="240" w:lineRule="auto"/>
        <w:ind w:firstLine="567" w:left="0" w:right="0"/>
        <w:jc w:val="both"/>
        <w:rPr>
          <w:rFonts w:ascii="Times New Roman" w:hAnsi="Times New Roman"/>
          <w:sz w:val="22"/>
        </w:rPr>
      </w:pPr>
      <w:r>
        <w:rPr>
          <w:rFonts w:ascii="Times New Roman" w:hAnsi="Times New Roman"/>
          <w:sz w:val="22"/>
        </w:rPr>
        <w:t>Единовременная выплата по настоящему Договору, предусмотренная пп.2) настоящего пункта, осуществляется только при выполнении условия истечения 15 лет с наиболее ранней даты заключения Договора в пользу Участника (соблюдение условий достижения оснований назначения выплат по Договору согласно пп.2) п. 3.1 настоящего Договора).</w:t>
      </w:r>
    </w:p>
    <w:p w14:paraId="2A000000">
      <w:pPr>
        <w:pStyle w:val="Style_5"/>
        <w:widowControl w:val="1"/>
        <w:ind w:firstLine="567" w:left="0" w:right="0"/>
        <w:jc w:val="both"/>
        <w:rPr>
          <w:rFonts w:ascii="Times New Roman" w:hAnsi="Times New Roman"/>
          <w:sz w:val="22"/>
        </w:rPr>
      </w:pPr>
      <w:r>
        <w:rPr>
          <w:rFonts w:ascii="Times New Roman" w:hAnsi="Times New Roman"/>
          <w:sz w:val="22"/>
        </w:rPr>
        <w:t xml:space="preserve">Фонд не может выплачивать Участнику средства пенсионных накоплений, переведенных в состав средств пенсионных резервов в качестве единовременного взноса по настоящему Договору, а также дополнительные стимулирующие взносы и доход от их размещения ранее наступления оснований назначения выплат по настоящему Договору, за исключением случая выплаты выкупной суммы в соответствии с </w:t>
      </w:r>
      <w:r>
        <w:rPr>
          <w:rFonts w:ascii="Times New Roman" w:hAnsi="Times New Roman"/>
          <w:sz w:val="22"/>
        </w:rPr>
        <w:fldChar w:fldCharType="begin"/>
      </w:r>
      <w:r>
        <w:rPr>
          <w:rFonts w:ascii="Times New Roman" w:hAnsi="Times New Roman"/>
          <w:sz w:val="22"/>
        </w:rPr>
        <w:instrText>HYPERLINK "https://login.consultant.ru/link/?req=doc&amp;base=LAW&amp;n=454679&amp;dst=2740"</w:instrText>
      </w:r>
      <w:r>
        <w:rPr>
          <w:rFonts w:ascii="Times New Roman" w:hAnsi="Times New Roman"/>
          <w:sz w:val="22"/>
        </w:rPr>
        <w:fldChar w:fldCharType="separate"/>
      </w:r>
      <w:r>
        <w:rPr>
          <w:rFonts w:ascii="Times New Roman" w:hAnsi="Times New Roman"/>
          <w:sz w:val="22"/>
        </w:rPr>
        <w:t>п. 4              ст. 36.41</w:t>
      </w:r>
      <w:r>
        <w:rPr>
          <w:rFonts w:ascii="Times New Roman" w:hAnsi="Times New Roman"/>
          <w:sz w:val="22"/>
        </w:rPr>
        <w:fldChar w:fldCharType="end"/>
      </w:r>
      <w:r>
        <w:rPr>
          <w:rFonts w:ascii="Times New Roman" w:hAnsi="Times New Roman"/>
          <w:sz w:val="22"/>
        </w:rPr>
        <w:t xml:space="preserve"> Федерального закона от 07.05.1998 № 75-ФЗ «О негосударственных пенсионных фондах» (далее – Федеральный закон № 75-ФЗ). </w:t>
      </w:r>
    </w:p>
    <w:p w14:paraId="2B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Обращение за назначением периодических выплат, пожизненных выплат или единовременной выплаты по Договору может осуществляться в любое время после приобретения права на указанные выплаты без ограничения срока.</w:t>
      </w:r>
    </w:p>
    <w:p w14:paraId="2C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Датой обращения за назначением выплат по Договору считается дата регистрации Фондом корректно оформленного Заявления и полного, надлежаще оформленного пакета документов к нему.</w:t>
      </w:r>
    </w:p>
    <w:p w14:paraId="2D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Для назначения выплат по Договору Участник должен предоставить в Фонд заявление по форме, установленной Фондом (размещается Фондом на его сайте в сети Интернет) и следующие документы (оригиналы и/или их надлежащим образом заверенные копии):</w:t>
      </w:r>
    </w:p>
    <w:p w14:paraId="2E000000">
      <w:pPr>
        <w:pStyle w:val="Style_3"/>
        <w:widowControl w:val="0"/>
        <w:numPr>
          <w:ilvl w:val="0"/>
          <w:numId w:val="5"/>
        </w:numPr>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документы, удостоверяющие его личность, возраст, место жительства (место пребывания), гражданство;</w:t>
      </w:r>
    </w:p>
    <w:p w14:paraId="2F000000">
      <w:pPr>
        <w:pStyle w:val="Style_3"/>
        <w:widowControl w:val="0"/>
        <w:numPr>
          <w:ilvl w:val="0"/>
          <w:numId w:val="5"/>
        </w:numPr>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документы, подтверждающие изменение фамилии, имени, отчества, пола Участника (в период с даты открытия счета ДС или даты последней актуализации указанных данных до даты оформления заявления о назначении выплаты по Договору);</w:t>
      </w:r>
    </w:p>
    <w:p w14:paraId="30000000">
      <w:pPr>
        <w:pStyle w:val="Style_3"/>
        <w:widowControl w:val="0"/>
        <w:numPr>
          <w:ilvl w:val="0"/>
          <w:numId w:val="5"/>
        </w:numPr>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согласие на предоставление и обработку персональных данных;</w:t>
      </w:r>
    </w:p>
    <w:p w14:paraId="31000000">
      <w:pPr>
        <w:pStyle w:val="Style_3"/>
        <w:widowControl w:val="0"/>
        <w:numPr>
          <w:ilvl w:val="0"/>
          <w:numId w:val="5"/>
        </w:numPr>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анкета физического лица;</w:t>
      </w:r>
    </w:p>
    <w:p w14:paraId="32000000">
      <w:pPr>
        <w:pStyle w:val="Style_3"/>
        <w:widowControl w:val="0"/>
        <w:numPr>
          <w:ilvl w:val="0"/>
          <w:numId w:val="5"/>
        </w:numPr>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документы, удостоверяющие личность и место жительства (место пребывания) законного представителя или доверенного лица, а также документы, подтверждающие их полномочия в случае их обращения от имени Участника.</w:t>
      </w:r>
    </w:p>
    <w:p w14:paraId="33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Заявление и документы могут быть представлены в Фонд лично, через законного/уполномоченного представителя, по почте или направлено в форме электронного документа. Оформление заявления в форме электронного документа осуществляется в соответствии с требованиями законодательства Российской Федерации.</w:t>
      </w:r>
    </w:p>
    <w:p w14:paraId="34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Продолжительность срочных периодических выплат по Договору указывается в полных месяцах.</w:t>
      </w:r>
    </w:p>
    <w:p w14:paraId="35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Размер пожизненных периодических выплат и срочных периодических выплат при их назначении определяется Фондом исходя из остатка средств, учтенных на счете ДС Участника, определяемого в соответствии с Правилами Фонда.</w:t>
      </w:r>
    </w:p>
    <w:p w14:paraId="36000000">
      <w:pPr>
        <w:pStyle w:val="Style_3"/>
        <w:widowControl w:val="0"/>
        <w:numPr>
          <w:ilvl w:val="1"/>
          <w:numId w:val="1"/>
        </w:numPr>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Фонд в течение 1 (одного) месяца с даты обращения рассматривает заявление Участника о назначении выплат по Договору. О результате рассмотрения такого заявления Фонд информирует Участника путем размещения информации в «Личном кабинете» на сайте Фонда в сети Интернет, почтовым отправлением, либо способом, указанным в Заявлении Участника.</w:t>
      </w:r>
    </w:p>
    <w:p w14:paraId="37000000">
      <w:pPr>
        <w:pStyle w:val="Style_3"/>
        <w:widowControl w:val="0"/>
        <w:numPr>
          <w:ilvl w:val="1"/>
          <w:numId w:val="1"/>
        </w:numPr>
        <w:tabs>
          <w:tab w:leader="none" w:pos="720" w:val="clear"/>
          <w:tab w:leader="none" w:pos="1134" w:val="left"/>
        </w:tabs>
        <w:ind w:firstLine="567" w:left="0" w:right="0"/>
        <w:jc w:val="both"/>
        <w:rPr>
          <w:rFonts w:ascii="Times New Roman" w:hAnsi="Times New Roman"/>
          <w:sz w:val="22"/>
        </w:rPr>
      </w:pPr>
      <w:r>
        <w:rPr>
          <w:rFonts w:ascii="Times New Roman" w:hAnsi="Times New Roman"/>
          <w:sz w:val="22"/>
        </w:rPr>
        <w:t>Порядок расчета периодических и единовременных выплат по Договору установлен разделом 8.5 Правил Фонда.</w:t>
      </w:r>
    </w:p>
    <w:p w14:paraId="38000000">
      <w:pPr>
        <w:pStyle w:val="Style_3"/>
        <w:widowControl w:val="0"/>
        <w:numPr>
          <w:ilvl w:val="1"/>
          <w:numId w:val="1"/>
        </w:numPr>
        <w:tabs>
          <w:tab w:leader="none" w:pos="720" w:val="clear"/>
          <w:tab w:leader="none" w:pos="1134" w:val="left"/>
        </w:tabs>
        <w:ind w:firstLine="567" w:left="0" w:right="0"/>
        <w:jc w:val="both"/>
        <w:rPr>
          <w:rFonts w:ascii="Times New Roman" w:hAnsi="Times New Roman"/>
          <w:sz w:val="22"/>
        </w:rPr>
      </w:pPr>
      <w:r>
        <w:rPr>
          <w:rFonts w:ascii="Times New Roman" w:hAnsi="Times New Roman"/>
          <w:sz w:val="22"/>
        </w:rPr>
        <w:t xml:space="preserve">Выплаты по Договору выплачиваются путем перечисления на банковский счет Участника. </w:t>
      </w:r>
    </w:p>
    <w:p w14:paraId="39000000">
      <w:pPr>
        <w:pStyle w:val="Style_5"/>
        <w:widowControl w:val="0"/>
        <w:tabs>
          <w:tab w:leader="none" w:pos="720" w:val="clear"/>
          <w:tab w:leader="none" w:pos="851" w:val="left"/>
          <w:tab w:leader="none" w:pos="1276" w:val="left"/>
        </w:tabs>
        <w:spacing w:after="0" w:before="0"/>
        <w:ind w:firstLine="567" w:left="0" w:right="0"/>
        <w:contextualSpacing w:val="1"/>
        <w:jc w:val="both"/>
        <w:rPr>
          <w:rFonts w:ascii="Times New Roman" w:hAnsi="Times New Roman"/>
          <w:sz w:val="22"/>
        </w:rPr>
      </w:pPr>
      <w:r>
        <w:rPr>
          <w:rFonts w:ascii="Times New Roman" w:hAnsi="Times New Roman"/>
          <w:sz w:val="22"/>
        </w:rPr>
        <w:t>Первая периодическая выплата по Договору выплачивается не позднее последнего рабочего дня месяца, следующего за месяцем, в котором назначена соответствующая выплата. Последующие периодические выплаты по Договору осуществляются ежемесячно за текущий месяц не позднее последнего рабочего дня месяца.</w:t>
      </w:r>
    </w:p>
    <w:p w14:paraId="3A000000">
      <w:pPr>
        <w:pStyle w:val="Style_5"/>
        <w:widowControl w:val="0"/>
        <w:tabs>
          <w:tab w:leader="none" w:pos="720" w:val="clear"/>
          <w:tab w:leader="none" w:pos="851" w:val="left"/>
          <w:tab w:leader="none" w:pos="1276" w:val="left"/>
        </w:tabs>
        <w:spacing w:after="0" w:before="0"/>
        <w:ind w:firstLine="567" w:left="0" w:right="0"/>
        <w:contextualSpacing w:val="1"/>
        <w:jc w:val="both"/>
        <w:rPr>
          <w:rFonts w:ascii="Times New Roman" w:hAnsi="Times New Roman"/>
          <w:sz w:val="22"/>
        </w:rPr>
      </w:pPr>
      <w:r>
        <w:rPr>
          <w:rFonts w:ascii="Times New Roman" w:hAnsi="Times New Roman"/>
          <w:sz w:val="22"/>
        </w:rPr>
        <w:t xml:space="preserve">Единовременная выплата по Договору осуществляется в течение 1 (одного) месяца со дня ее назначения. </w:t>
      </w:r>
    </w:p>
    <w:p w14:paraId="3B000000">
      <w:pPr>
        <w:pStyle w:val="Style_5"/>
        <w:widowControl w:val="0"/>
        <w:tabs>
          <w:tab w:leader="none" w:pos="720" w:val="clear"/>
          <w:tab w:leader="none" w:pos="851" w:val="left"/>
          <w:tab w:leader="none" w:pos="1276" w:val="left"/>
        </w:tabs>
        <w:spacing w:after="0" w:before="0"/>
        <w:ind w:firstLine="567" w:left="0" w:right="0"/>
        <w:contextualSpacing w:val="1"/>
        <w:jc w:val="both"/>
        <w:rPr>
          <w:rFonts w:ascii="Times New Roman" w:hAnsi="Times New Roman"/>
          <w:sz w:val="22"/>
        </w:rPr>
      </w:pPr>
      <w:r>
        <w:rPr>
          <w:rFonts w:ascii="Times New Roman" w:hAnsi="Times New Roman"/>
          <w:sz w:val="22"/>
        </w:rPr>
        <w:t>Оплата расходов, связанных с доставкой выплат по Договору Участнику, производится за счет собственных средств Фонда.</w:t>
      </w:r>
    </w:p>
    <w:p w14:paraId="3C000000">
      <w:pPr>
        <w:pStyle w:val="Style_3"/>
        <w:widowControl w:val="0"/>
        <w:numPr>
          <w:ilvl w:val="1"/>
          <w:numId w:val="1"/>
        </w:numPr>
        <w:tabs>
          <w:tab w:leader="none" w:pos="720" w:val="clear"/>
          <w:tab w:leader="none" w:pos="1134" w:val="left"/>
        </w:tabs>
        <w:ind w:firstLine="567" w:left="0" w:right="0"/>
        <w:jc w:val="both"/>
        <w:rPr>
          <w:rFonts w:ascii="Times New Roman" w:hAnsi="Times New Roman"/>
          <w:sz w:val="22"/>
        </w:rPr>
      </w:pPr>
      <w:r>
        <w:rPr>
          <w:rFonts w:ascii="Times New Roman" w:hAnsi="Times New Roman"/>
          <w:sz w:val="22"/>
        </w:rPr>
        <w:t>В случае неполучения Участником установленной периодической выплаты по настоящему Договору (возврата на расчетный счет Фонда) Фонд приостанавливает соответствующие выплаты.</w:t>
      </w:r>
    </w:p>
    <w:p w14:paraId="3D000000">
      <w:pPr>
        <w:pStyle w:val="Style_3"/>
        <w:widowControl w:val="0"/>
        <w:numPr>
          <w:ilvl w:val="1"/>
          <w:numId w:val="1"/>
        </w:numPr>
        <w:tabs>
          <w:tab w:leader="none" w:pos="720" w:val="clear"/>
          <w:tab w:leader="none" w:pos="1134" w:val="left"/>
        </w:tabs>
        <w:ind w:firstLine="567" w:left="0" w:right="0"/>
        <w:jc w:val="both"/>
        <w:rPr>
          <w:rFonts w:ascii="Times New Roman" w:hAnsi="Times New Roman"/>
          <w:sz w:val="22"/>
        </w:rPr>
      </w:pPr>
      <w:r>
        <w:rPr>
          <w:rFonts w:ascii="Times New Roman" w:hAnsi="Times New Roman"/>
          <w:sz w:val="22"/>
        </w:rPr>
        <w:t>Периодические выплаты возобновляются Фондом с месяца приостановления периодических выплат при поступлении информации об устранении причин, вызвавших их приостановление в соответствии с пунктом 4.12 настоящего Договора.</w:t>
      </w:r>
    </w:p>
    <w:p w14:paraId="3E000000">
      <w:pPr>
        <w:pStyle w:val="Style_3"/>
        <w:widowControl w:val="0"/>
        <w:numPr>
          <w:ilvl w:val="1"/>
          <w:numId w:val="1"/>
        </w:numPr>
        <w:tabs>
          <w:tab w:leader="none" w:pos="720" w:val="clear"/>
          <w:tab w:leader="none" w:pos="1134" w:val="left"/>
        </w:tabs>
        <w:ind w:firstLine="567" w:left="0" w:right="0"/>
        <w:jc w:val="both"/>
        <w:rPr>
          <w:rFonts w:ascii="Times New Roman" w:hAnsi="Times New Roman"/>
          <w:sz w:val="22"/>
        </w:rPr>
      </w:pPr>
      <w:r>
        <w:rPr>
          <w:rFonts w:ascii="Times New Roman" w:hAnsi="Times New Roman"/>
          <w:sz w:val="22"/>
        </w:rPr>
        <w:t xml:space="preserve">При этом, выплата недополученных сумм периодических выплат производится за весь период с даты приостановления до даты ее возобновления. </w:t>
      </w:r>
    </w:p>
    <w:p w14:paraId="3F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7" w:name="bookmark12"/>
      <w:bookmarkEnd w:id="7"/>
      <w:r>
        <w:rPr>
          <w:rFonts w:ascii="Times New Roman" w:hAnsi="Times New Roman"/>
          <w:b w:val="1"/>
          <w:sz w:val="22"/>
        </w:rPr>
        <w:t>ПРАВА И ОБЯЗАННОСТИ СТОРОН</w:t>
      </w:r>
    </w:p>
    <w:p w14:paraId="40000000">
      <w:pPr>
        <w:pStyle w:val="Style_3"/>
        <w:widowControl w:val="0"/>
        <w:tabs>
          <w:tab w:leader="none" w:pos="720" w:val="clear"/>
          <w:tab w:leader="none" w:pos="1152" w:val="left"/>
        </w:tabs>
        <w:ind w:firstLine="580" w:left="0" w:right="0"/>
        <w:jc w:val="both"/>
        <w:rPr>
          <w:rFonts w:ascii="Times New Roman" w:hAnsi="Times New Roman"/>
          <w:sz w:val="22"/>
        </w:rPr>
      </w:pPr>
      <w:r>
        <w:rPr>
          <w:rFonts w:ascii="Times New Roman" w:hAnsi="Times New Roman"/>
          <w:b w:val="1"/>
          <w:sz w:val="22"/>
        </w:rPr>
        <w:t>5.1.</w:t>
      </w:r>
      <w:r>
        <w:rPr>
          <w:rFonts w:ascii="Times New Roman" w:hAnsi="Times New Roman"/>
          <w:sz w:val="22"/>
        </w:rPr>
        <w:t xml:space="preserve"> </w:t>
      </w:r>
      <w:r>
        <w:rPr>
          <w:rFonts w:ascii="Times New Roman" w:hAnsi="Times New Roman"/>
          <w:b w:val="1"/>
          <w:sz w:val="22"/>
        </w:rPr>
        <w:t>Фонд обязан</w:t>
      </w:r>
      <w:r>
        <w:rPr>
          <w:rFonts w:ascii="Times New Roman" w:hAnsi="Times New Roman"/>
          <w:sz w:val="22"/>
        </w:rPr>
        <w:t>:</w:t>
      </w:r>
    </w:p>
    <w:p w14:paraId="41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5.1.1. Осуществлять периодические выплаты или единовременную выплату Участнику в порядке, установленном разделом</w:t>
      </w:r>
      <w:r>
        <w:rPr>
          <w:rFonts w:ascii="Times New Roman" w:hAnsi="Times New Roman"/>
          <w:sz w:val="22"/>
        </w:rPr>
        <w:fldChar w:fldCharType="begin"/>
      </w:r>
      <w:r>
        <w:rPr>
          <w:rFonts w:ascii="Times New Roman" w:hAnsi="Times New Roman"/>
          <w:sz w:val="22"/>
        </w:rPr>
        <w:instrText>HYPERLINK \l "bookmark9"</w:instrText>
      </w:r>
      <w:r>
        <w:rPr>
          <w:rFonts w:ascii="Times New Roman" w:hAnsi="Times New Roman"/>
          <w:sz w:val="22"/>
        </w:rPr>
        <w:fldChar w:fldCharType="separate"/>
      </w:r>
      <w:r>
        <w:rPr>
          <w:rFonts w:ascii="Times New Roman" w:hAnsi="Times New Roman"/>
          <w:sz w:val="22"/>
        </w:rPr>
        <w:t xml:space="preserve"> 4 </w:t>
      </w:r>
      <w:r>
        <w:rPr>
          <w:rFonts w:ascii="Times New Roman" w:hAnsi="Times New Roman"/>
          <w:sz w:val="22"/>
        </w:rPr>
        <w:fldChar w:fldCharType="end"/>
      </w:r>
      <w:r>
        <w:rPr>
          <w:rFonts w:ascii="Times New Roman" w:hAnsi="Times New Roman"/>
          <w:sz w:val="22"/>
        </w:rPr>
        <w:t>Договора и Правилами Фонда.</w:t>
      </w:r>
    </w:p>
    <w:p w14:paraId="42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5.1.2. Осуществлять учет сведений о каждом Вкладчике (Участнике), а также учет своих обязательств перед Вкладчиками (Участниками) в форме ведения счетов ДС в порядке, определенном законодательством Российской Федерации и разделом 7 Правил Фонда.</w:t>
      </w:r>
    </w:p>
    <w:p w14:paraId="43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 xml:space="preserve">5.1.3. Доводить до сведения Вкладчиков (Участников) и их правопреемников формы заявлений, обязательных для использования Вкладчиком (Участником) и их правопреемниками, путем размещения данных форм на своем сайте в сети Интернет. </w:t>
      </w:r>
    </w:p>
    <w:p w14:paraId="44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5.1.4. Выплатить Вкладчику выкупную сумму или перевести ее в другой фонд в соответствии с разделом 10 Договора и Правилами Фонда.</w:t>
      </w:r>
    </w:p>
    <w:p w14:paraId="45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5.1.5. Бесплатно предоставлять один раз в год Вкладчику и Участнику по его обращению способом, указанным ими при обращении, информацию о состоянии их счетов ДС в течение 10 (десяти) дней со дня обращения (указанная информация может быть направлена в форме электронного документа с использованием информационно-телекоммуникационных сетей общего пользования, в том числе сети Интернет, а также иным способом, в том числе почтовым отправлением).</w:t>
      </w:r>
    </w:p>
    <w:p w14:paraId="46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5.1.6. Обеспечивать конфиденциальность информации, полученной в процессе сбора, хранения, передачи и использования сведений, содержащихся в счетах ДС, а также при осуществлении периодических выплат или единовременной выплаты Участнику и выплате (переводе в другой фонд) выкупной суммы. Указанная информация может быть передана третьим лицам только в установленных законодательством Российской Федерации случаях.</w:t>
      </w:r>
    </w:p>
    <w:p w14:paraId="47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5.1.7. Осуществлять проверку необходимости гарантийного восполнения резервов покрытия пенсионных обязательств и гарантийное восполнение резервов покрытия пенсионных обязательств по Договору в порядке, предусмотренном законодательством Российской Федерации.</w:t>
      </w:r>
    </w:p>
    <w:p w14:paraId="48000000">
      <w:pPr>
        <w:pStyle w:val="Style_5"/>
        <w:widowControl w:val="0"/>
        <w:tabs>
          <w:tab w:leader="none" w:pos="720" w:val="clear"/>
          <w:tab w:leader="none" w:pos="993" w:val="left"/>
        </w:tabs>
        <w:spacing w:line="252" w:lineRule="auto"/>
        <w:ind w:firstLine="580" w:left="0" w:right="0"/>
        <w:jc w:val="both"/>
        <w:rPr>
          <w:rFonts w:ascii="Times New Roman" w:hAnsi="Times New Roman"/>
          <w:sz w:val="22"/>
        </w:rPr>
      </w:pPr>
      <w:r>
        <w:rPr>
          <w:rFonts w:ascii="Times New Roman" w:hAnsi="Times New Roman"/>
          <w:sz w:val="22"/>
        </w:rPr>
        <w:t xml:space="preserve"> </w:t>
      </w:r>
      <w:r>
        <w:rPr>
          <w:rFonts w:ascii="Times New Roman" w:hAnsi="Times New Roman"/>
          <w:sz w:val="22"/>
        </w:rPr>
        <w:t>Продолжительность периода гарантийного восполнения по Договору считается равной пяти календарным годам.</w:t>
      </w:r>
    </w:p>
    <w:p w14:paraId="49000000">
      <w:pPr>
        <w:pStyle w:val="Style_5"/>
        <w:keepNext w:val="1"/>
        <w:keepLines w:val="1"/>
        <w:widowControl w:val="0"/>
        <w:numPr>
          <w:ilvl w:val="0"/>
          <w:numId w:val="0"/>
        </w:numPr>
        <w:tabs>
          <w:tab w:leader="none" w:pos="720" w:val="clear"/>
          <w:tab w:leader="none" w:pos="1151" w:val="left"/>
        </w:tabs>
        <w:spacing w:line="252" w:lineRule="auto"/>
        <w:ind w:firstLine="567" w:left="0" w:right="0"/>
        <w:jc w:val="both"/>
        <w:outlineLvl w:val="1"/>
        <w:rPr>
          <w:rFonts w:ascii="Times New Roman" w:hAnsi="Times New Roman"/>
          <w:sz w:val="22"/>
        </w:rPr>
      </w:pPr>
      <w:r>
        <w:rPr>
          <w:rFonts w:ascii="Times New Roman" w:hAnsi="Times New Roman"/>
          <w:b w:val="1"/>
          <w:sz w:val="22"/>
        </w:rPr>
        <w:t>5.2. Фонд имеет право:</w:t>
      </w:r>
    </w:p>
    <w:p w14:paraId="4A000000">
      <w:pPr>
        <w:pStyle w:val="Style_5"/>
        <w:widowControl w:val="0"/>
        <w:tabs>
          <w:tab w:leader="none" w:pos="720" w:val="clear"/>
          <w:tab w:leader="none" w:pos="1201" w:val="left"/>
        </w:tabs>
        <w:spacing w:line="252" w:lineRule="auto"/>
        <w:ind w:firstLine="580" w:left="0" w:right="0"/>
        <w:jc w:val="both"/>
        <w:rPr>
          <w:rFonts w:ascii="Times New Roman" w:hAnsi="Times New Roman"/>
          <w:sz w:val="22"/>
        </w:rPr>
      </w:pPr>
      <w:r>
        <w:rPr>
          <w:rFonts w:ascii="Times New Roman" w:hAnsi="Times New Roman"/>
          <w:sz w:val="22"/>
        </w:rPr>
        <w:t>5.2.1. Запрашивать у Вкладчика (Участника) информацию, необходимую для реализации формирования долгосрочных сбережений Участника.</w:t>
      </w:r>
    </w:p>
    <w:p w14:paraId="4B000000">
      <w:pPr>
        <w:pStyle w:val="Style_5"/>
        <w:widowControl w:val="0"/>
        <w:tabs>
          <w:tab w:leader="none" w:pos="720" w:val="clear"/>
          <w:tab w:leader="none" w:pos="1201" w:val="left"/>
        </w:tabs>
        <w:spacing w:line="252" w:lineRule="auto"/>
        <w:ind w:firstLine="580" w:left="0" w:right="0"/>
        <w:jc w:val="both"/>
        <w:rPr>
          <w:rFonts w:ascii="Times New Roman" w:hAnsi="Times New Roman"/>
          <w:sz w:val="22"/>
        </w:rPr>
      </w:pPr>
      <w:r>
        <w:rPr>
          <w:rFonts w:ascii="Times New Roman" w:hAnsi="Times New Roman"/>
          <w:sz w:val="22"/>
        </w:rPr>
        <w:t>5.2.2. Приостанавливать периодические выплаты при возникновении обстоятельств, указанных в пункте 4.12 настоящего Договора.</w:t>
      </w:r>
    </w:p>
    <w:p w14:paraId="4C000000">
      <w:pPr>
        <w:pStyle w:val="Style_5"/>
        <w:widowControl w:val="0"/>
        <w:tabs>
          <w:tab w:leader="none" w:pos="720" w:val="clear"/>
          <w:tab w:leader="none" w:pos="1201" w:val="left"/>
        </w:tabs>
        <w:spacing w:line="252" w:lineRule="auto"/>
        <w:ind w:firstLine="580" w:left="0" w:right="0"/>
        <w:jc w:val="both"/>
        <w:rPr>
          <w:rFonts w:ascii="Times New Roman" w:hAnsi="Times New Roman"/>
          <w:sz w:val="22"/>
        </w:rPr>
      </w:pPr>
      <w:r>
        <w:rPr>
          <w:rFonts w:ascii="Times New Roman" w:hAnsi="Times New Roman"/>
          <w:sz w:val="22"/>
        </w:rPr>
        <w:t>5.2.3. Фонд вправе не исполнять свои обязанности по Договору до предоставления Вкладчиком (Участником) документов и (или) сведений, указанных в п. 5.4.2 настоящего Договора, и в течение 30 дней с момента такого предоставления, в том числе: по назначению периодических выплат, единовременной выплаты и по выплате выкупной суммы по Договору, а также по иным выплатам.</w:t>
      </w:r>
    </w:p>
    <w:p w14:paraId="4D000000">
      <w:pPr>
        <w:pStyle w:val="Style_5"/>
        <w:widowControl w:val="0"/>
        <w:tabs>
          <w:tab w:leader="none" w:pos="720" w:val="clear"/>
          <w:tab w:leader="none" w:pos="1201" w:val="left"/>
        </w:tabs>
        <w:spacing w:line="252" w:lineRule="auto"/>
        <w:ind w:firstLine="580" w:left="0" w:right="0"/>
        <w:jc w:val="both"/>
        <w:rPr>
          <w:rFonts w:ascii="Times New Roman" w:hAnsi="Times New Roman"/>
          <w:sz w:val="22"/>
        </w:rPr>
      </w:pPr>
      <w:r>
        <w:rPr>
          <w:rFonts w:ascii="Times New Roman" w:hAnsi="Times New Roman"/>
          <w:sz w:val="22"/>
        </w:rPr>
        <w:t>5.3. Фонд имеет иные права и обязанности, предусмотренные Правилами Фонда.</w:t>
      </w:r>
    </w:p>
    <w:p w14:paraId="4E000000">
      <w:pPr>
        <w:pStyle w:val="Style_5"/>
        <w:keepNext w:val="1"/>
        <w:keepLines w:val="1"/>
        <w:widowControl w:val="0"/>
        <w:numPr>
          <w:ilvl w:val="0"/>
          <w:numId w:val="0"/>
        </w:numPr>
        <w:tabs>
          <w:tab w:leader="none" w:pos="720" w:val="clear"/>
          <w:tab w:leader="none" w:pos="1151" w:val="left"/>
        </w:tabs>
        <w:spacing w:line="252" w:lineRule="auto"/>
        <w:ind w:firstLine="567" w:left="0" w:right="0"/>
        <w:jc w:val="both"/>
        <w:outlineLvl w:val="1"/>
        <w:rPr>
          <w:rFonts w:ascii="Times New Roman" w:hAnsi="Times New Roman"/>
          <w:sz w:val="22"/>
        </w:rPr>
      </w:pPr>
      <w:r>
        <w:rPr>
          <w:rFonts w:ascii="Times New Roman" w:hAnsi="Times New Roman"/>
          <w:b w:val="1"/>
          <w:sz w:val="22"/>
        </w:rPr>
        <w:t>5.4. Вкладчик (Участник) обязан:</w:t>
      </w:r>
    </w:p>
    <w:p w14:paraId="4F000000">
      <w:pPr>
        <w:pStyle w:val="Style_5"/>
        <w:widowControl w:val="0"/>
        <w:ind w:firstLine="567" w:left="0" w:right="0"/>
        <w:jc w:val="both"/>
        <w:rPr>
          <w:rFonts w:ascii="Times New Roman" w:hAnsi="Times New Roman"/>
          <w:sz w:val="22"/>
        </w:rPr>
      </w:pPr>
      <w:r>
        <w:rPr>
          <w:rFonts w:ascii="Times New Roman" w:hAnsi="Times New Roman"/>
          <w:sz w:val="22"/>
        </w:rPr>
        <w:t>5.4.1. Письменно известить Фонд в течение 30 (тридцати) дней с даты изменения: фамилии, имени, отчества, паспортных данных, места жительства, банковских реквизитов и иных сведений, необходимых для исполнения Договора.</w:t>
      </w:r>
    </w:p>
    <w:p w14:paraId="50000000">
      <w:pPr>
        <w:pStyle w:val="Style_5"/>
        <w:widowControl w:val="0"/>
        <w:tabs>
          <w:tab w:leader="none" w:pos="720" w:val="clear"/>
          <w:tab w:leader="none" w:pos="1206" w:val="left"/>
          <w:tab w:leader="none" w:pos="4608" w:val="left"/>
          <w:tab w:leader="none" w:pos="4997" w:val="left"/>
        </w:tabs>
        <w:spacing w:line="252" w:lineRule="auto"/>
        <w:ind w:firstLine="580" w:left="0" w:right="0"/>
        <w:jc w:val="both"/>
        <w:rPr>
          <w:rFonts w:ascii="Times New Roman" w:hAnsi="Times New Roman"/>
          <w:sz w:val="22"/>
        </w:rPr>
      </w:pPr>
      <w:r>
        <w:rPr>
          <w:rFonts w:ascii="Times New Roman" w:hAnsi="Times New Roman"/>
          <w:sz w:val="22"/>
        </w:rPr>
        <w:t>5.4.2. Предоставлять (в том числе по запросу Фонда), документы и (или) сведения, необходимые для целей соблюдения требований законодательства о налогах и сборах, Федерального закона от 07.08.2001                 № 115-ФЗ «О противодействии легализации (отмыванию) доходов, полученных преступным путем и финансированию терроризма».</w:t>
      </w:r>
    </w:p>
    <w:p w14:paraId="51000000">
      <w:pPr>
        <w:pStyle w:val="Style_5"/>
        <w:widowControl w:val="0"/>
        <w:tabs>
          <w:tab w:leader="none" w:pos="720" w:val="clear"/>
          <w:tab w:leader="none" w:pos="1206" w:val="left"/>
          <w:tab w:leader="none" w:pos="4608" w:val="left"/>
          <w:tab w:leader="none" w:pos="4997" w:val="left"/>
        </w:tabs>
        <w:spacing w:line="252" w:lineRule="auto"/>
        <w:ind w:firstLine="580" w:left="0" w:right="0"/>
        <w:jc w:val="both"/>
        <w:rPr>
          <w:rFonts w:ascii="Times New Roman" w:hAnsi="Times New Roman"/>
          <w:sz w:val="22"/>
        </w:rPr>
      </w:pPr>
      <w:r>
        <w:rPr>
          <w:rFonts w:ascii="Times New Roman" w:hAnsi="Times New Roman"/>
          <w:sz w:val="22"/>
        </w:rPr>
        <w:t>5.4.3. Уплачивать сберегательные взносы исключительно денежными средствами в порядке и размерах, установленных настоящим Договором и в соответствии с Правилами Фонда, а также законодательством Российской Федерации в случае уплаты единовременного взноса по Договору.</w:t>
      </w:r>
    </w:p>
    <w:p w14:paraId="52000000">
      <w:pPr>
        <w:pStyle w:val="Style_5"/>
        <w:widowControl w:val="0"/>
        <w:tabs>
          <w:tab w:leader="none" w:pos="720" w:val="clear"/>
          <w:tab w:leader="none" w:pos="1206" w:val="left"/>
          <w:tab w:leader="none" w:pos="4608" w:val="left"/>
          <w:tab w:leader="none" w:pos="4997" w:val="left"/>
        </w:tabs>
        <w:spacing w:line="252" w:lineRule="auto"/>
        <w:ind w:firstLine="580" w:left="0" w:right="0"/>
        <w:jc w:val="both"/>
        <w:rPr>
          <w:rFonts w:ascii="Times New Roman" w:hAnsi="Times New Roman"/>
          <w:sz w:val="22"/>
        </w:rPr>
      </w:pPr>
      <w:r>
        <w:rPr>
          <w:rFonts w:ascii="Times New Roman" w:hAnsi="Times New Roman"/>
          <w:b w:val="1"/>
          <w:sz w:val="22"/>
        </w:rPr>
        <w:t>5.5. Вкладчик (Участник) имеет право:</w:t>
      </w:r>
    </w:p>
    <w:p w14:paraId="53000000">
      <w:pPr>
        <w:pStyle w:val="Style_5"/>
        <w:widowControl w:val="0"/>
        <w:tabs>
          <w:tab w:leader="none" w:pos="720" w:val="clear"/>
          <w:tab w:leader="none" w:pos="1214" w:val="left"/>
        </w:tabs>
        <w:spacing w:line="252" w:lineRule="auto"/>
        <w:ind w:firstLine="567" w:left="0" w:right="0"/>
        <w:jc w:val="both"/>
        <w:rPr>
          <w:rFonts w:ascii="Times New Roman" w:hAnsi="Times New Roman"/>
          <w:sz w:val="22"/>
        </w:rPr>
      </w:pPr>
      <w:r>
        <w:rPr>
          <w:rFonts w:ascii="Times New Roman" w:hAnsi="Times New Roman"/>
          <w:sz w:val="22"/>
        </w:rPr>
        <w:t>5.5.1. Требовать от Фонда исполнения его обязательств по Договору в полном объеме.</w:t>
      </w:r>
    </w:p>
    <w:p w14:paraId="54000000">
      <w:pPr>
        <w:pStyle w:val="Style_5"/>
        <w:widowControl w:val="0"/>
        <w:tabs>
          <w:tab w:leader="none" w:pos="720" w:val="clear"/>
          <w:tab w:leader="none" w:pos="1214" w:val="left"/>
        </w:tabs>
        <w:spacing w:line="252" w:lineRule="auto"/>
        <w:ind w:firstLine="567" w:left="0" w:right="0"/>
        <w:jc w:val="both"/>
        <w:rPr>
          <w:rFonts w:ascii="Times New Roman" w:hAnsi="Times New Roman"/>
          <w:sz w:val="22"/>
        </w:rPr>
      </w:pPr>
      <w:r>
        <w:rPr>
          <w:rFonts w:ascii="Times New Roman" w:hAnsi="Times New Roman"/>
          <w:sz w:val="22"/>
        </w:rPr>
        <w:t>5.5.2. Получать информацию о состоянии счета ДС в соответствии с Правилами Фонда.</w:t>
      </w:r>
    </w:p>
    <w:p w14:paraId="55000000">
      <w:pPr>
        <w:pStyle w:val="Style_5"/>
        <w:widowControl w:val="0"/>
        <w:tabs>
          <w:tab w:leader="none" w:pos="720" w:val="clear"/>
          <w:tab w:leader="none" w:pos="1196" w:val="left"/>
        </w:tabs>
        <w:spacing w:line="252" w:lineRule="auto"/>
        <w:ind w:firstLine="567" w:left="0" w:right="0"/>
        <w:jc w:val="both"/>
        <w:rPr>
          <w:rFonts w:ascii="Times New Roman" w:hAnsi="Times New Roman"/>
          <w:sz w:val="22"/>
        </w:rPr>
      </w:pPr>
      <w:r>
        <w:rPr>
          <w:rFonts w:ascii="Times New Roman" w:hAnsi="Times New Roman"/>
          <w:sz w:val="22"/>
        </w:rPr>
        <w:t>5.5.3. Подать в Фонд заявление о распределении остатка средств на счете ДС (далее – Заявление о назначении правопреемников) по установленной Фондом форме (размещается Фондом на его сайте в сети Интернет) с указанием правопреемников, которые, в случае смерти Участника до назначения ему периодических выплат или после назначения ему срочных периодических выплат по Договору, имеют право на получение денежных средств в размере и порядке, установленном Правилами Фонда.</w:t>
      </w:r>
    </w:p>
    <w:p w14:paraId="56000000">
      <w:pPr>
        <w:pStyle w:val="Style_5"/>
        <w:widowControl w:val="0"/>
        <w:tabs>
          <w:tab w:leader="none" w:pos="720" w:val="clear"/>
          <w:tab w:leader="none" w:pos="1201" w:val="left"/>
        </w:tabs>
        <w:spacing w:line="252" w:lineRule="auto"/>
        <w:ind w:firstLine="567" w:left="0" w:right="0"/>
        <w:jc w:val="both"/>
        <w:rPr>
          <w:rFonts w:ascii="Times New Roman" w:hAnsi="Times New Roman"/>
          <w:sz w:val="22"/>
        </w:rPr>
      </w:pPr>
      <w:r>
        <w:rPr>
          <w:rFonts w:ascii="Times New Roman" w:hAnsi="Times New Roman"/>
          <w:sz w:val="22"/>
        </w:rPr>
        <w:t>5.5.4. Расторгнуть Договор и требовать выплаты выкупных сумм, их перевод в другой негосударственный пенсионный фонд в соответствии с Правилами Фонда и условиями Договора.</w:t>
      </w:r>
    </w:p>
    <w:p w14:paraId="57000000">
      <w:pPr>
        <w:pStyle w:val="Style_5"/>
        <w:widowControl w:val="0"/>
        <w:tabs>
          <w:tab w:leader="none" w:pos="720" w:val="clear"/>
          <w:tab w:leader="none" w:pos="1201" w:val="left"/>
        </w:tabs>
        <w:spacing w:line="252" w:lineRule="auto"/>
        <w:ind w:firstLine="567" w:left="0" w:right="0"/>
        <w:jc w:val="both"/>
        <w:rPr>
          <w:rFonts w:ascii="Times New Roman" w:hAnsi="Times New Roman"/>
          <w:sz w:val="22"/>
        </w:rPr>
      </w:pPr>
      <w:r>
        <w:rPr>
          <w:rFonts w:ascii="Times New Roman" w:hAnsi="Times New Roman"/>
          <w:sz w:val="22"/>
        </w:rPr>
        <w:t>5.5.5. Подать в Фонд уведомление об отказе от расторжения Договора в срок до 31 декабря года, в котором истекает пятилетний срок, исчисляющийся начиная с года подачи заявления о расторжении Договора и переводе выкупной суммы в другой негосударственный пенсионный фонд. В этом случае все заявления о расторжении Договора и о переводе выкупной суммы в другой негосударственный пенсионный фонд, поданные ранее указанного уведомления, оставляются Фондом без рассмотрения.</w:t>
      </w:r>
    </w:p>
    <w:p w14:paraId="58000000">
      <w:pPr>
        <w:pStyle w:val="Style_5"/>
        <w:widowControl w:val="0"/>
        <w:tabs>
          <w:tab w:leader="none" w:pos="720" w:val="clear"/>
          <w:tab w:leader="none" w:pos="1201" w:val="left"/>
        </w:tabs>
        <w:spacing w:line="252" w:lineRule="auto"/>
        <w:ind w:firstLine="567" w:left="0" w:right="0"/>
        <w:jc w:val="both"/>
        <w:rPr>
          <w:rFonts w:ascii="Times New Roman" w:hAnsi="Times New Roman"/>
          <w:sz w:val="22"/>
        </w:rPr>
      </w:pPr>
      <w:r>
        <w:rPr>
          <w:rFonts w:ascii="Times New Roman" w:hAnsi="Times New Roman"/>
          <w:sz w:val="22"/>
        </w:rPr>
        <w:t>5.5.6. Вкладчик (Участник) имеет иные права и обязанности, предусмотренные законодательством Российской Федерации и Правилами Фонда.</w:t>
      </w:r>
    </w:p>
    <w:p w14:paraId="59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r>
        <w:rPr>
          <w:rFonts w:ascii="Times New Roman" w:hAnsi="Times New Roman"/>
          <w:b w:val="1"/>
          <w:sz w:val="22"/>
        </w:rPr>
        <w:t>ПРАВОПРЕЕМСТВО</w:t>
      </w:r>
    </w:p>
    <w:p w14:paraId="5A000000">
      <w:pPr>
        <w:pStyle w:val="Style_3"/>
        <w:widowControl w:val="0"/>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6.1. В случае если смерть Участника наступила до назначения ему периодических выплат или после назначения ему срочных периодических выплат по Договору, правопреемник(и), указанный(ые) в Заявлении  о назначении правопреемников, имеет(ют) право на получение остатка средств на счете ДС Участника в размере и порядке, установленном Правилами Фонда.</w:t>
      </w:r>
    </w:p>
    <w:p w14:paraId="5B000000">
      <w:pPr>
        <w:pStyle w:val="Style_3"/>
        <w:widowControl w:val="0"/>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6.2. В случае отсутствия Заявления о назначении правопреемников выплата осуществляется правопреемникам Участника из числа родственников, к которым относятся его дети, в том числе усыновленные, супруга (супруг), родители (усыновители), братья, сестры, дедушки, бабушки и внуки независимо от возраста и состояния трудоспособности, в следующей последовательности:</w:t>
      </w:r>
    </w:p>
    <w:p w14:paraId="5C000000">
      <w:pPr>
        <w:pStyle w:val="Style_3"/>
        <w:widowControl w:val="0"/>
        <w:numPr>
          <w:ilvl w:val="0"/>
          <w:numId w:val="6"/>
        </w:numPr>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в первую очередь – детям, в том числе усыновленным, супруге (супругу) и родителям (усыновителям);</w:t>
      </w:r>
    </w:p>
    <w:p w14:paraId="5D000000">
      <w:pPr>
        <w:pStyle w:val="Style_5"/>
        <w:widowControl w:val="0"/>
        <w:numPr>
          <w:ilvl w:val="0"/>
          <w:numId w:val="6"/>
        </w:numPr>
        <w:tabs>
          <w:tab w:leader="none" w:pos="720" w:val="clear"/>
          <w:tab w:leader="none" w:pos="851" w:val="left"/>
        </w:tabs>
        <w:ind w:firstLine="567" w:left="0" w:right="0"/>
        <w:rPr>
          <w:rFonts w:ascii="Times New Roman" w:hAnsi="Times New Roman"/>
          <w:sz w:val="22"/>
        </w:rPr>
      </w:pPr>
      <w:r>
        <w:rPr>
          <w:rFonts w:ascii="Times New Roman" w:hAnsi="Times New Roman"/>
          <w:sz w:val="22"/>
        </w:rPr>
        <w:t>во вторую очередь – братьям, сестрам, дедушкам, бабушкам и внукам.</w:t>
      </w:r>
    </w:p>
    <w:p w14:paraId="5E000000">
      <w:pPr>
        <w:pStyle w:val="Style_5"/>
        <w:widowControl w:val="0"/>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6.3. Порядок обращения правопреемников Участника за получением выкупной суммы и ее размер установлен пп. 9.3-9.5 Правил Фонда.</w:t>
      </w:r>
    </w:p>
    <w:p w14:paraId="5F000000">
      <w:pPr>
        <w:pStyle w:val="Style_5"/>
        <w:widowControl w:val="0"/>
        <w:tabs>
          <w:tab w:leader="none" w:pos="720" w:val="clear"/>
          <w:tab w:leader="none" w:pos="851" w:val="left"/>
        </w:tabs>
        <w:ind w:firstLine="567" w:left="0" w:right="0"/>
        <w:jc w:val="both"/>
        <w:rPr>
          <w:rFonts w:ascii="Times New Roman" w:hAnsi="Times New Roman"/>
          <w:sz w:val="22"/>
        </w:rPr>
      </w:pPr>
      <w:r>
        <w:rPr>
          <w:rFonts w:ascii="Times New Roman" w:hAnsi="Times New Roman"/>
          <w:sz w:val="22"/>
        </w:rPr>
        <w:t xml:space="preserve">6.4. Выплата выкупных сумм правопреемникам умершего Участника осуществляется не позднее последнего рабочего дня месяца, следующего за месяцем, в котором Фондом принято решение о выплате выкупной суммы правопреемнику Участника. </w:t>
      </w:r>
    </w:p>
    <w:p w14:paraId="60000000">
      <w:pPr>
        <w:pStyle w:val="Style_5"/>
        <w:widowControl w:val="0"/>
        <w:tabs>
          <w:tab w:leader="none" w:pos="720" w:val="clear"/>
          <w:tab w:leader="none" w:pos="851" w:val="left"/>
          <w:tab w:leader="none" w:pos="1276" w:val="left"/>
        </w:tabs>
        <w:spacing w:after="0" w:before="0"/>
        <w:ind w:firstLine="567" w:left="0" w:right="0"/>
        <w:contextualSpacing w:val="1"/>
        <w:jc w:val="both"/>
        <w:rPr>
          <w:rFonts w:ascii="Times New Roman" w:hAnsi="Times New Roman"/>
          <w:sz w:val="22"/>
        </w:rPr>
      </w:pPr>
      <w:r>
        <w:rPr>
          <w:rFonts w:ascii="Times New Roman" w:hAnsi="Times New Roman"/>
          <w:sz w:val="22"/>
        </w:rPr>
        <w:t>6.5. Выплата выкупных сумм правопреемникам умершего Участника, восстановившим в судебном порядке срок обращения за выплатой указанных средств, осуществляется Фондом за счет средств страхового резерва.</w:t>
      </w:r>
    </w:p>
    <w:p w14:paraId="61000000">
      <w:pPr>
        <w:pStyle w:val="Style_5"/>
        <w:widowControl w:val="0"/>
        <w:tabs>
          <w:tab w:leader="none" w:pos="720" w:val="clear"/>
          <w:tab w:leader="none" w:pos="851" w:val="left"/>
          <w:tab w:leader="none" w:pos="1276" w:val="left"/>
        </w:tabs>
        <w:spacing w:after="0" w:before="0"/>
        <w:ind w:firstLine="567" w:left="0" w:right="0"/>
        <w:contextualSpacing w:val="1"/>
        <w:jc w:val="both"/>
        <w:rPr>
          <w:rFonts w:ascii="Times New Roman" w:hAnsi="Times New Roman"/>
          <w:sz w:val="22"/>
        </w:rPr>
      </w:pPr>
      <w:r>
        <w:rPr>
          <w:rFonts w:ascii="Times New Roman" w:hAnsi="Times New Roman"/>
          <w:sz w:val="22"/>
        </w:rPr>
        <w:t>6.6. В случае принятия решения о выплате выкупной суммы правопреемникам по закону, восстановившим в судебном порядке срок для обращения после выплаты выкупной суммы другим правопреемникам, возврат (восстановление) соответствующих сумм с последующим их зачислением в страховой резерв осуществляется за счет средств правопреемников, которым выплачена выкупная сумма (в случае их согласия), или в судебном порядке (в случае отсутствия их согласия).</w:t>
      </w:r>
    </w:p>
    <w:p w14:paraId="62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sz w:val="22"/>
        </w:rPr>
      </w:pPr>
      <w:bookmarkStart w:id="8" w:name="bookmark26"/>
      <w:bookmarkEnd w:id="8"/>
      <w:r>
        <w:rPr>
          <w:rFonts w:ascii="Times New Roman" w:hAnsi="Times New Roman"/>
          <w:b w:val="1"/>
          <w:sz w:val="22"/>
        </w:rPr>
        <w:t>ОТВЕТСТВЕННОСТЬ СТОРОН ЗА НЕИСПОЛНЕНИЕ СВОИХ ОБЯЗАТЕЛЬСТВ</w:t>
      </w:r>
    </w:p>
    <w:p w14:paraId="63000000">
      <w:pPr>
        <w:pStyle w:val="Style_5"/>
        <w:widowControl w:val="0"/>
        <w:ind w:firstLine="567" w:left="0" w:right="0"/>
        <w:jc w:val="both"/>
        <w:rPr>
          <w:rFonts w:ascii="Times New Roman" w:hAnsi="Times New Roman"/>
          <w:sz w:val="22"/>
        </w:rPr>
      </w:pPr>
      <w:r>
        <w:rPr>
          <w:rFonts w:ascii="Times New Roman" w:hAnsi="Times New Roman"/>
          <w:sz w:val="22"/>
        </w:rPr>
        <w:t>Стороны несут установленную действующим законодательством Российской Федерации и Правилами Фонда ответственность за неисполнение или ненадлежащее исполнение принятых на себя обязательств.</w:t>
      </w:r>
    </w:p>
    <w:p w14:paraId="64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9" w:name="bookmark28"/>
      <w:r>
        <w:rPr>
          <w:rFonts w:ascii="Times New Roman" w:hAnsi="Times New Roman"/>
          <w:b w:val="1"/>
          <w:sz w:val="22"/>
        </w:rPr>
        <w:t>СРОК ДЕЙСТВИЯ И ПРЕКРАЩЕНИЕ ДОГОВОРА</w:t>
      </w:r>
      <w:bookmarkEnd w:id="9"/>
    </w:p>
    <w:p w14:paraId="65000000">
      <w:pPr>
        <w:pStyle w:val="Style_3"/>
        <w:widowControl w:val="0"/>
        <w:tabs>
          <w:tab w:leader="none" w:pos="720" w:val="clear"/>
          <w:tab w:leader="none" w:pos="1133" w:val="left"/>
        </w:tabs>
        <w:ind w:firstLine="580" w:left="0" w:right="0"/>
        <w:jc w:val="both"/>
        <w:rPr>
          <w:rFonts w:ascii="Times New Roman" w:hAnsi="Times New Roman"/>
          <w:sz w:val="22"/>
        </w:rPr>
      </w:pPr>
      <w:r>
        <w:rPr>
          <w:rFonts w:ascii="Times New Roman" w:hAnsi="Times New Roman"/>
          <w:sz w:val="22"/>
        </w:rPr>
        <w:t>8.1. Договор вступает в силу с даты его подписания Сторонами.</w:t>
      </w:r>
    </w:p>
    <w:p w14:paraId="66000000">
      <w:pPr>
        <w:pStyle w:val="Style_3"/>
        <w:widowControl w:val="0"/>
        <w:tabs>
          <w:tab w:leader="none" w:pos="720" w:val="clear"/>
          <w:tab w:leader="none" w:pos="1133" w:val="left"/>
        </w:tabs>
        <w:ind w:firstLine="580" w:left="0" w:right="0"/>
        <w:jc w:val="both"/>
        <w:rPr>
          <w:rFonts w:ascii="Times New Roman" w:hAnsi="Times New Roman"/>
          <w:sz w:val="22"/>
        </w:rPr>
      </w:pPr>
      <w:r>
        <w:rPr>
          <w:rFonts w:ascii="Times New Roman" w:hAnsi="Times New Roman"/>
          <w:b w:val="0"/>
          <w:sz w:val="22"/>
        </w:rPr>
        <w:t xml:space="preserve">8.2. Договор </w:t>
      </w:r>
      <w:r>
        <w:rPr>
          <w:rFonts w:ascii="Times New Roman" w:hAnsi="Times New Roman"/>
          <w:sz w:val="22"/>
        </w:rPr>
        <w:t>п</w:t>
      </w:r>
      <w:r>
        <w:rPr>
          <w:rFonts w:ascii="Times New Roman" w:hAnsi="Times New Roman"/>
          <w:b w:val="0"/>
          <w:sz w:val="22"/>
        </w:rPr>
        <w:t>рекращает свое действие в следующих случаях:</w:t>
      </w:r>
    </w:p>
    <w:p w14:paraId="67000000">
      <w:pPr>
        <w:pStyle w:val="Style_5"/>
        <w:widowControl w:val="0"/>
        <w:numPr>
          <w:ilvl w:val="0"/>
          <w:numId w:val="7"/>
        </w:numPr>
        <w:tabs>
          <w:tab w:leader="none" w:pos="0" w:val="left"/>
          <w:tab w:leader="none" w:pos="720" w:val="clear"/>
          <w:tab w:leader="none" w:pos="993" w:val="left"/>
          <w:tab w:leader="none" w:pos="1276" w:val="left"/>
          <w:tab w:leader="none" w:pos="1418" w:val="left"/>
        </w:tabs>
        <w:spacing w:after="0" w:before="0"/>
        <w:ind w:hanging="283" w:left="850" w:right="0"/>
        <w:contextualSpacing w:val="1"/>
        <w:rPr>
          <w:rFonts w:ascii="Times New Roman" w:hAnsi="Times New Roman"/>
          <w:sz w:val="22"/>
        </w:rPr>
      </w:pPr>
      <w:r>
        <w:rPr>
          <w:rFonts w:ascii="Times New Roman" w:hAnsi="Times New Roman"/>
          <w:sz w:val="22"/>
        </w:rPr>
        <w:t>окончательного исполнения Фондом принятых на себя обязательств;</w:t>
      </w:r>
    </w:p>
    <w:p w14:paraId="68000000">
      <w:pPr>
        <w:pStyle w:val="Style_5"/>
        <w:widowControl w:val="0"/>
        <w:numPr>
          <w:ilvl w:val="0"/>
          <w:numId w:val="7"/>
        </w:numPr>
        <w:tabs>
          <w:tab w:leader="none" w:pos="0" w:val="left"/>
          <w:tab w:leader="none" w:pos="720" w:val="clear"/>
          <w:tab w:leader="none" w:pos="993" w:val="left"/>
          <w:tab w:leader="none" w:pos="1276" w:val="left"/>
          <w:tab w:leader="none" w:pos="1418" w:val="left"/>
        </w:tabs>
        <w:spacing w:after="0" w:before="0"/>
        <w:ind w:hanging="283" w:left="850" w:right="0"/>
        <w:contextualSpacing w:val="1"/>
        <w:rPr>
          <w:rFonts w:ascii="Times New Roman" w:hAnsi="Times New Roman"/>
          <w:sz w:val="22"/>
        </w:rPr>
      </w:pPr>
      <w:r>
        <w:rPr>
          <w:rFonts w:ascii="Times New Roman" w:hAnsi="Times New Roman"/>
          <w:sz w:val="22"/>
        </w:rPr>
        <w:t xml:space="preserve">расторжения договора; </w:t>
      </w:r>
    </w:p>
    <w:p w14:paraId="69000000">
      <w:pPr>
        <w:pStyle w:val="Style_5"/>
        <w:widowControl w:val="0"/>
        <w:numPr>
          <w:ilvl w:val="0"/>
          <w:numId w:val="7"/>
        </w:numPr>
        <w:tabs>
          <w:tab w:leader="none" w:pos="0" w:val="left"/>
          <w:tab w:leader="none" w:pos="720" w:val="clear"/>
          <w:tab w:leader="none" w:pos="993" w:val="left"/>
          <w:tab w:leader="none" w:pos="1276" w:val="left"/>
          <w:tab w:leader="none" w:pos="1418" w:val="left"/>
        </w:tabs>
        <w:spacing w:after="0" w:before="0"/>
        <w:ind w:hanging="283" w:left="850" w:right="0"/>
        <w:contextualSpacing w:val="1"/>
        <w:rPr>
          <w:rFonts w:ascii="Times New Roman" w:hAnsi="Times New Roman"/>
          <w:sz w:val="22"/>
        </w:rPr>
      </w:pPr>
      <w:r>
        <w:rPr>
          <w:rFonts w:ascii="Times New Roman" w:hAnsi="Times New Roman"/>
          <w:sz w:val="22"/>
        </w:rPr>
        <w:t>смерти Вкладчика;</w:t>
      </w:r>
    </w:p>
    <w:p w14:paraId="6A000000">
      <w:pPr>
        <w:pStyle w:val="Style_5"/>
        <w:widowControl w:val="0"/>
        <w:numPr>
          <w:ilvl w:val="0"/>
          <w:numId w:val="7"/>
        </w:numPr>
        <w:tabs>
          <w:tab w:leader="none" w:pos="0" w:val="left"/>
          <w:tab w:leader="none" w:pos="720" w:val="clear"/>
          <w:tab w:leader="none" w:pos="993" w:val="left"/>
          <w:tab w:leader="none" w:pos="1276" w:val="left"/>
          <w:tab w:leader="none" w:pos="1418" w:val="left"/>
        </w:tabs>
        <w:spacing w:after="0" w:before="0"/>
        <w:ind w:hanging="283" w:left="850" w:right="0"/>
        <w:contextualSpacing w:val="1"/>
        <w:rPr>
          <w:rFonts w:ascii="Times New Roman" w:hAnsi="Times New Roman"/>
          <w:sz w:val="22"/>
        </w:rPr>
      </w:pPr>
      <w:r>
        <w:rPr>
          <w:rFonts w:ascii="Times New Roman" w:hAnsi="Times New Roman"/>
          <w:sz w:val="22"/>
        </w:rPr>
        <w:t>иных случаях,  установленных законодательством Российской Федерации.</w:t>
      </w:r>
    </w:p>
    <w:p w14:paraId="6B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r>
        <w:rPr>
          <w:rFonts w:ascii="Times New Roman" w:hAnsi="Times New Roman"/>
          <w:b w:val="1"/>
          <w:sz w:val="22"/>
        </w:rPr>
        <w:t>ПОРЯДОК И УСЛОВИЯ ИЗМЕНЕНИЯ И РАСТОРЖЕНИЯ ДОГОВОРА</w:t>
      </w:r>
    </w:p>
    <w:p w14:paraId="6C000000">
      <w:pPr>
        <w:pStyle w:val="Style_5"/>
        <w:widowControl w:val="0"/>
        <w:ind w:firstLine="567" w:left="0" w:right="0"/>
        <w:jc w:val="both"/>
        <w:rPr>
          <w:rFonts w:ascii="Times New Roman" w:hAnsi="Times New Roman"/>
          <w:sz w:val="22"/>
        </w:rPr>
      </w:pPr>
      <w:r>
        <w:rPr>
          <w:rFonts w:ascii="Times New Roman" w:hAnsi="Times New Roman"/>
          <w:sz w:val="22"/>
        </w:rPr>
        <w:t>9.1. В настоящий Договор по соглашению Сторон могут быть внесены дополнения и изменения, если они не противоречат действующему законодательству Российской Федерации, а также действующей на момент заключения Договора редакции Правил Фонда.</w:t>
      </w:r>
    </w:p>
    <w:p w14:paraId="6D000000">
      <w:pPr>
        <w:pStyle w:val="Style_5"/>
        <w:widowControl w:val="0"/>
        <w:ind w:firstLine="567" w:left="0" w:right="0"/>
        <w:jc w:val="both"/>
        <w:rPr>
          <w:rFonts w:ascii="Times New Roman" w:hAnsi="Times New Roman"/>
          <w:sz w:val="22"/>
        </w:rPr>
      </w:pPr>
      <w:r>
        <w:rPr>
          <w:rFonts w:ascii="Times New Roman" w:hAnsi="Times New Roman"/>
          <w:sz w:val="22"/>
        </w:rPr>
        <w:t>9.2. Внесение изменений и дополнений в Договор осуществляется путем подписания Сторонами дополнительного соглашения к Договору с учетом особенностей установленных  п. 9.3 настоящего Договора. Дополнительное соглашение является неотъемлемой частью Договора.</w:t>
      </w:r>
    </w:p>
    <w:p w14:paraId="6E000000">
      <w:pPr>
        <w:pStyle w:val="Style_5"/>
        <w:widowControl w:val="0"/>
        <w:ind w:firstLine="567" w:left="0" w:right="0"/>
        <w:jc w:val="both"/>
        <w:rPr>
          <w:rFonts w:ascii="Times New Roman" w:hAnsi="Times New Roman"/>
          <w:sz w:val="22"/>
        </w:rPr>
      </w:pPr>
      <w:r>
        <w:rPr>
          <w:rFonts w:ascii="Times New Roman" w:hAnsi="Times New Roman"/>
          <w:sz w:val="22"/>
        </w:rPr>
        <w:t>9.3. В случае заключения дополнительного соглашения к Договору ранее действовавшие условия, закрепленные в заключенном Фондом Договоре, сохраняют силу до полного их исполнения, если Сторонами не будет оговорено иное.</w:t>
      </w:r>
    </w:p>
    <w:p w14:paraId="6F000000">
      <w:pPr>
        <w:pStyle w:val="Style_5"/>
        <w:widowControl w:val="0"/>
        <w:ind w:firstLine="567" w:left="0" w:right="0"/>
        <w:jc w:val="both"/>
        <w:rPr>
          <w:rFonts w:ascii="Times New Roman" w:hAnsi="Times New Roman"/>
          <w:sz w:val="22"/>
        </w:rPr>
      </w:pPr>
      <w:r>
        <w:rPr>
          <w:rFonts w:ascii="Times New Roman" w:hAnsi="Times New Roman"/>
          <w:b w:val="0"/>
          <w:sz w:val="22"/>
        </w:rPr>
        <w:t>9.4. Договор может быть расторгнут:</w:t>
      </w:r>
    </w:p>
    <w:p w14:paraId="70000000">
      <w:pPr>
        <w:pStyle w:val="Style_5"/>
        <w:widowControl w:val="0"/>
        <w:numPr>
          <w:ilvl w:val="0"/>
          <w:numId w:val="8"/>
        </w:numPr>
        <w:tabs>
          <w:tab w:leader="none" w:pos="567" w:val="left"/>
          <w:tab w:leader="none" w:pos="720" w:val="clear"/>
        </w:tabs>
        <w:spacing w:after="0" w:before="0"/>
        <w:ind w:firstLine="567" w:left="567" w:right="0"/>
        <w:contextualSpacing w:val="1"/>
        <w:jc w:val="both"/>
        <w:rPr>
          <w:rFonts w:ascii="Times New Roman" w:hAnsi="Times New Roman"/>
          <w:sz w:val="22"/>
        </w:rPr>
      </w:pPr>
      <w:r>
        <w:rPr>
          <w:rFonts w:ascii="Times New Roman" w:hAnsi="Times New Roman"/>
          <w:sz w:val="22"/>
        </w:rPr>
        <w:t xml:space="preserve">Вкладчиком до обращения за назначением выплаты по Договору с переводом выкупной суммы в качестве сберегательного взноса по иному договору долгосрочных сбережений, заключенному в пользу того же участника с другим фондом; </w:t>
      </w:r>
    </w:p>
    <w:p w14:paraId="71000000">
      <w:pPr>
        <w:pStyle w:val="Style_5"/>
        <w:widowControl w:val="0"/>
        <w:numPr>
          <w:ilvl w:val="0"/>
          <w:numId w:val="8"/>
        </w:numPr>
        <w:tabs>
          <w:tab w:leader="none" w:pos="567" w:val="left"/>
          <w:tab w:leader="none" w:pos="720" w:val="clear"/>
        </w:tabs>
        <w:spacing w:after="0" w:before="0"/>
        <w:ind w:firstLine="567" w:left="567" w:right="0"/>
        <w:contextualSpacing w:val="1"/>
        <w:jc w:val="both"/>
        <w:rPr>
          <w:rFonts w:ascii="Times New Roman" w:hAnsi="Times New Roman"/>
          <w:sz w:val="22"/>
        </w:rPr>
      </w:pPr>
      <w:r>
        <w:rPr>
          <w:rFonts w:ascii="Times New Roman" w:hAnsi="Times New Roman"/>
          <w:sz w:val="22"/>
        </w:rPr>
        <w:t xml:space="preserve">в случае обращения Вкладчика до назначения выплаты по Договору за выплатой выкупной суммы в пределах части остатка средств на счете ДС, превышающей размер единовременного взноса и дополнительных стимулирующих взносов, а также положительного результата от их размещения за вычетом выплат при возникновении особых жизненных ситуаций; </w:t>
      </w:r>
    </w:p>
    <w:p w14:paraId="72000000">
      <w:pPr>
        <w:pStyle w:val="Style_5"/>
        <w:widowControl w:val="0"/>
        <w:numPr>
          <w:ilvl w:val="0"/>
          <w:numId w:val="8"/>
        </w:numPr>
        <w:tabs>
          <w:tab w:leader="none" w:pos="567" w:val="left"/>
          <w:tab w:leader="none" w:pos="720" w:val="clear"/>
        </w:tabs>
        <w:spacing w:after="0" w:before="0"/>
        <w:ind w:firstLine="567" w:left="567" w:right="0"/>
        <w:contextualSpacing w:val="1"/>
        <w:jc w:val="both"/>
        <w:rPr>
          <w:rFonts w:ascii="Times New Roman" w:hAnsi="Times New Roman"/>
          <w:sz w:val="22"/>
        </w:rPr>
      </w:pPr>
      <w:r>
        <w:rPr>
          <w:rFonts w:ascii="Times New Roman" w:hAnsi="Times New Roman"/>
          <w:sz w:val="22"/>
        </w:rPr>
        <w:t xml:space="preserve">в случае отсутствия поступления на счет ДС личного сберегательного взноса в течение                     </w:t>
      </w:r>
      <w:r>
        <w:rPr>
          <w:rFonts w:ascii="Times New Roman" w:hAnsi="Times New Roman"/>
          <w:sz w:val="22"/>
        </w:rPr>
        <w:t>2</w:t>
      </w:r>
      <w:r>
        <w:rPr>
          <w:rFonts w:ascii="Times New Roman" w:hAnsi="Times New Roman"/>
          <w:sz w:val="22"/>
        </w:rPr>
        <w:t xml:space="preserve"> (</w:t>
      </w:r>
      <w:r>
        <w:rPr>
          <w:rFonts w:ascii="Times New Roman" w:hAnsi="Times New Roman"/>
          <w:sz w:val="22"/>
        </w:rPr>
        <w:t>дву</w:t>
      </w:r>
      <w:r>
        <w:rPr>
          <w:rFonts w:ascii="Times New Roman" w:hAnsi="Times New Roman"/>
          <w:sz w:val="22"/>
        </w:rPr>
        <w:t>х) лет с момента заключения Договора при условии отсутствия на счете ДС единовременного взноса и дополнительных стимулирующих взносов;</w:t>
      </w:r>
    </w:p>
    <w:p w14:paraId="73000000">
      <w:pPr>
        <w:pStyle w:val="Style_5"/>
        <w:widowControl w:val="0"/>
        <w:numPr>
          <w:ilvl w:val="0"/>
          <w:numId w:val="8"/>
        </w:numPr>
        <w:tabs>
          <w:tab w:leader="none" w:pos="720" w:val="clear"/>
          <w:tab w:leader="none" w:pos="1214" w:val="left"/>
        </w:tabs>
        <w:spacing w:line="252" w:lineRule="auto"/>
        <w:ind w:firstLine="567" w:left="567" w:right="0"/>
        <w:jc w:val="both"/>
        <w:rPr>
          <w:rFonts w:ascii="Times New Roman" w:hAnsi="Times New Roman"/>
          <w:sz w:val="22"/>
        </w:rPr>
      </w:pPr>
      <w:r>
        <w:rPr>
          <w:rFonts w:ascii="Times New Roman" w:hAnsi="Times New Roman"/>
          <w:sz w:val="22"/>
        </w:rPr>
        <w:t>по соглашению Сторон;</w:t>
      </w:r>
    </w:p>
    <w:p w14:paraId="74000000">
      <w:pPr>
        <w:pStyle w:val="Style_5"/>
        <w:widowControl w:val="0"/>
        <w:numPr>
          <w:ilvl w:val="0"/>
          <w:numId w:val="8"/>
        </w:numPr>
        <w:tabs>
          <w:tab w:leader="none" w:pos="720" w:val="clear"/>
          <w:tab w:leader="none" w:pos="1214" w:val="left"/>
        </w:tabs>
        <w:spacing w:line="252" w:lineRule="auto"/>
        <w:ind w:firstLine="567" w:left="567" w:right="0"/>
        <w:jc w:val="both"/>
        <w:rPr>
          <w:rFonts w:ascii="Times New Roman" w:hAnsi="Times New Roman"/>
          <w:sz w:val="22"/>
        </w:rPr>
      </w:pPr>
      <w:r>
        <w:rPr>
          <w:rFonts w:ascii="Times New Roman" w:hAnsi="Times New Roman"/>
          <w:sz w:val="22"/>
        </w:rPr>
        <w:t>по решению суда;</w:t>
      </w:r>
    </w:p>
    <w:p w14:paraId="75000000">
      <w:pPr>
        <w:pStyle w:val="Style_5"/>
        <w:widowControl w:val="0"/>
        <w:numPr>
          <w:ilvl w:val="0"/>
          <w:numId w:val="8"/>
        </w:numPr>
        <w:ind w:firstLine="567" w:left="567" w:right="0"/>
        <w:jc w:val="both"/>
        <w:rPr>
          <w:rFonts w:ascii="Times New Roman" w:hAnsi="Times New Roman"/>
          <w:sz w:val="22"/>
        </w:rPr>
      </w:pPr>
      <w:r>
        <w:rPr>
          <w:rFonts w:ascii="Times New Roman" w:hAnsi="Times New Roman"/>
          <w:sz w:val="22"/>
        </w:rPr>
        <w:t xml:space="preserve">при возникновении обстоятельств непреодолимой силы, препятствующих исполнению Договора; </w:t>
      </w:r>
    </w:p>
    <w:p w14:paraId="76000000">
      <w:pPr>
        <w:pStyle w:val="Style_5"/>
        <w:widowControl w:val="0"/>
        <w:numPr>
          <w:ilvl w:val="0"/>
          <w:numId w:val="8"/>
        </w:numPr>
        <w:ind w:firstLine="567" w:left="567" w:right="0"/>
        <w:jc w:val="both"/>
        <w:rPr>
          <w:rFonts w:ascii="Times New Roman" w:hAnsi="Times New Roman"/>
          <w:sz w:val="22"/>
        </w:rPr>
      </w:pPr>
      <w:r>
        <w:rPr>
          <w:rFonts w:ascii="Times New Roman" w:hAnsi="Times New Roman"/>
          <w:sz w:val="22"/>
        </w:rPr>
        <w:t>иных случаях, предусмотренных законодательством Российской Федерации.</w:t>
      </w:r>
    </w:p>
    <w:p w14:paraId="77000000">
      <w:pPr>
        <w:pStyle w:val="Style_5"/>
        <w:widowControl w:val="0"/>
        <w:tabs>
          <w:tab w:leader="none" w:pos="720" w:val="clear"/>
          <w:tab w:leader="none" w:pos="1708" w:val="left"/>
        </w:tabs>
        <w:spacing w:line="252" w:lineRule="auto"/>
        <w:ind w:firstLine="567" w:left="0" w:right="0"/>
        <w:jc w:val="both"/>
        <w:rPr>
          <w:rFonts w:ascii="Times New Roman" w:hAnsi="Times New Roman"/>
          <w:sz w:val="22"/>
        </w:rPr>
      </w:pPr>
      <w:r>
        <w:rPr>
          <w:rFonts w:ascii="Times New Roman" w:hAnsi="Times New Roman"/>
          <w:sz w:val="22"/>
        </w:rPr>
        <w:t>9.5. Договор считается расторгнутым:</w:t>
      </w:r>
    </w:p>
    <w:p w14:paraId="78000000">
      <w:pPr>
        <w:pStyle w:val="Style_5"/>
        <w:widowControl w:val="0"/>
        <w:numPr>
          <w:ilvl w:val="0"/>
          <w:numId w:val="9"/>
        </w:numPr>
        <w:tabs>
          <w:tab w:leader="none" w:pos="720" w:val="clear"/>
          <w:tab w:leader="none" w:pos="993" w:val="left"/>
        </w:tabs>
        <w:spacing w:line="252" w:lineRule="auto"/>
        <w:ind w:firstLine="0" w:left="567" w:right="0"/>
        <w:jc w:val="both"/>
        <w:rPr>
          <w:rFonts w:ascii="Times New Roman" w:hAnsi="Times New Roman"/>
          <w:sz w:val="22"/>
        </w:rPr>
      </w:pPr>
      <w:r>
        <w:rPr>
          <w:rFonts w:ascii="Times New Roman" w:hAnsi="Times New Roman"/>
          <w:sz w:val="22"/>
        </w:rPr>
        <w:t>при расторжении по решению суда – с даты вступления в силу решения суда;</w:t>
      </w:r>
    </w:p>
    <w:p w14:paraId="79000000">
      <w:pPr>
        <w:pStyle w:val="Style_5"/>
        <w:widowControl w:val="0"/>
        <w:numPr>
          <w:ilvl w:val="0"/>
          <w:numId w:val="9"/>
        </w:numPr>
        <w:tabs>
          <w:tab w:leader="none" w:pos="720" w:val="clear"/>
          <w:tab w:leader="none" w:pos="884" w:val="left"/>
          <w:tab w:leader="none" w:pos="993" w:val="left"/>
        </w:tabs>
        <w:spacing w:line="252" w:lineRule="auto"/>
        <w:ind w:firstLine="0" w:left="567" w:right="0"/>
        <w:jc w:val="both"/>
        <w:rPr>
          <w:rFonts w:ascii="Times New Roman" w:hAnsi="Times New Roman"/>
          <w:sz w:val="22"/>
        </w:rPr>
      </w:pPr>
      <w:r>
        <w:rPr>
          <w:rFonts w:ascii="Times New Roman" w:hAnsi="Times New Roman"/>
          <w:sz w:val="22"/>
        </w:rPr>
        <w:t xml:space="preserve"> </w:t>
      </w:r>
      <w:r>
        <w:rPr>
          <w:rFonts w:ascii="Times New Roman" w:hAnsi="Times New Roman"/>
          <w:sz w:val="22"/>
        </w:rPr>
        <w:t>в случаях перевода выкупной суммы в другой негосударственный пенсионный фонд – с даты перевода выкупной суммы в другой негосударственный пенсионный фонд, но не позднее 31 марта года, следующего за годом, в котором истекает пятилетний срок, исчисляющийся начиная с года подачи Заявления о расторжении Договора и переводе выкупной суммы в другой негосударственный пенсионный фонд;</w:t>
      </w:r>
    </w:p>
    <w:p w14:paraId="7A000000">
      <w:pPr>
        <w:pStyle w:val="Style_5"/>
        <w:widowControl w:val="0"/>
        <w:numPr>
          <w:ilvl w:val="0"/>
          <w:numId w:val="9"/>
        </w:numPr>
        <w:tabs>
          <w:tab w:leader="none" w:pos="720" w:val="clear"/>
          <w:tab w:leader="none" w:pos="884" w:val="left"/>
          <w:tab w:leader="none" w:pos="993" w:val="left"/>
        </w:tabs>
        <w:spacing w:line="252" w:lineRule="auto"/>
        <w:ind w:firstLine="0" w:left="567" w:right="0"/>
        <w:jc w:val="both"/>
        <w:rPr>
          <w:rFonts w:ascii="Times New Roman" w:hAnsi="Times New Roman"/>
          <w:sz w:val="22"/>
        </w:rPr>
      </w:pPr>
      <w:r>
        <w:rPr>
          <w:rFonts w:ascii="Times New Roman" w:hAnsi="Times New Roman"/>
          <w:sz w:val="22"/>
        </w:rPr>
        <w:t>в случаях выплаты выкупной суммы на банковский счет Вкладчика  – с даты вынесения решения о выплате выкупной суммы Вкладчику;</w:t>
      </w:r>
    </w:p>
    <w:p w14:paraId="7B000000">
      <w:pPr>
        <w:pStyle w:val="Style_5"/>
        <w:widowControl w:val="0"/>
        <w:numPr>
          <w:ilvl w:val="0"/>
          <w:numId w:val="9"/>
        </w:numPr>
        <w:tabs>
          <w:tab w:leader="none" w:pos="720" w:val="clear"/>
          <w:tab w:leader="none" w:pos="884" w:val="left"/>
          <w:tab w:leader="none" w:pos="993" w:val="left"/>
        </w:tabs>
        <w:spacing w:line="252" w:lineRule="auto"/>
        <w:ind w:firstLine="0" w:left="567" w:right="0"/>
        <w:jc w:val="both"/>
        <w:rPr>
          <w:rFonts w:ascii="Times New Roman" w:hAnsi="Times New Roman"/>
          <w:sz w:val="22"/>
        </w:rPr>
      </w:pPr>
      <w:r>
        <w:rPr>
          <w:rFonts w:ascii="Times New Roman" w:hAnsi="Times New Roman"/>
          <w:sz w:val="22"/>
        </w:rPr>
        <w:t xml:space="preserve">в случае расторжения Договора по основанию, указанному в пп. в) п. 9.4 настоящего Договора – с даты истечения </w:t>
      </w:r>
      <w:r>
        <w:rPr>
          <w:rFonts w:ascii="Times New Roman" w:hAnsi="Times New Roman"/>
          <w:sz w:val="22"/>
        </w:rPr>
        <w:t>2</w:t>
      </w:r>
      <w:r>
        <w:rPr>
          <w:rFonts w:ascii="Times New Roman" w:hAnsi="Times New Roman"/>
          <w:sz w:val="22"/>
        </w:rPr>
        <w:t xml:space="preserve"> (</w:t>
      </w:r>
      <w:r>
        <w:rPr>
          <w:rFonts w:ascii="Times New Roman" w:hAnsi="Times New Roman"/>
          <w:sz w:val="22"/>
        </w:rPr>
        <w:t>дву</w:t>
      </w:r>
      <w:r>
        <w:rPr>
          <w:rFonts w:ascii="Times New Roman" w:hAnsi="Times New Roman"/>
          <w:sz w:val="22"/>
        </w:rPr>
        <w:t>х) лет с момента заключения Договора.</w:t>
      </w:r>
    </w:p>
    <w:p w14:paraId="7C000000">
      <w:pPr>
        <w:pStyle w:val="Style_5"/>
        <w:widowControl w:val="0"/>
        <w:ind w:firstLine="567" w:left="0" w:right="0"/>
        <w:jc w:val="both"/>
        <w:rPr>
          <w:rFonts w:ascii="Times New Roman" w:hAnsi="Times New Roman"/>
          <w:sz w:val="22"/>
        </w:rPr>
      </w:pPr>
      <w:r>
        <w:rPr>
          <w:rFonts w:ascii="Times New Roman" w:hAnsi="Times New Roman"/>
          <w:sz w:val="22"/>
        </w:rPr>
        <w:t>9.6. В случае изменения законодательства Российской Федерации, регулирующего взаимоотношения Сторон, условия Договора применяются в части, не противоречащей нормам законодательства Российской Федерации.</w:t>
      </w:r>
      <w:bookmarkStart w:id="10" w:name="bookmark32"/>
    </w:p>
    <w:p w14:paraId="7D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r>
        <w:rPr>
          <w:rFonts w:ascii="Times New Roman" w:hAnsi="Times New Roman"/>
          <w:b w:val="1"/>
          <w:sz w:val="22"/>
        </w:rPr>
        <w:t>ВЫПЛАТА ВЫКУПНОЙ СУММЫ ИЛИ ПЕРЕВОД ВЫКУПНОЙ СУММЫ В ДРУГОЙ ФОНД</w:t>
      </w:r>
    </w:p>
    <w:p w14:paraId="7E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10.1. Вкладчик до обращения за назначением выплаты по Договору вправе обратиться в Фонд за выплатой выкупной суммы по Договору в пределах части остатка средств на счете ДС, превышающей размер единовременного взноса и дополнительных стимулирующих взносов, а также положительного результата от их размещения за вычетом выплат, осуществленных в соответствии с п. 10.2 настоящего раздела.</w:t>
      </w:r>
    </w:p>
    <w:p w14:paraId="7F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10.2. До обращения за назначением выплат по Договору при возникновении особых жизненных ситуаций Участник вправе обратиться в Фонд за выплатой выкупной суммы без расторжения Договора в размере, указанном в заявлении Участника о выплате выкупной суммы, но не превышающем размера остатка средств на счете ДС Участника.</w:t>
      </w:r>
    </w:p>
    <w:p w14:paraId="80000000">
      <w:pPr>
        <w:pStyle w:val="Style_5"/>
        <w:widowControl w:val="0"/>
        <w:tabs>
          <w:tab w:leader="none" w:pos="720" w:val="clear"/>
          <w:tab w:leader="none" w:pos="993" w:val="left"/>
        </w:tabs>
        <w:ind w:firstLine="567" w:left="0" w:right="0"/>
        <w:jc w:val="both"/>
        <w:rPr>
          <w:rFonts w:ascii="Times New Roman" w:hAnsi="Times New Roman"/>
          <w:sz w:val="22"/>
        </w:rPr>
      </w:pPr>
      <w:r>
        <w:rPr>
          <w:rFonts w:ascii="Times New Roman" w:hAnsi="Times New Roman"/>
          <w:sz w:val="22"/>
        </w:rPr>
        <w:t>К особо жизненным ситуациям в целях применения настоящего пункта относятся:</w:t>
      </w:r>
    </w:p>
    <w:p w14:paraId="81000000">
      <w:pPr>
        <w:pStyle w:val="Style_6"/>
        <w:widowControl w:val="0"/>
        <w:numPr>
          <w:ilvl w:val="0"/>
          <w:numId w:val="10"/>
        </w:numPr>
        <w:tabs>
          <w:tab w:leader="none" w:pos="720" w:val="clear"/>
          <w:tab w:leader="none" w:pos="993" w:val="left"/>
        </w:tabs>
        <w:spacing w:after="0" w:before="0"/>
        <w:ind w:firstLine="567" w:left="0" w:right="0"/>
        <w:contextualSpacing w:val="1"/>
      </w:pPr>
      <w:r>
        <w:rPr>
          <w:sz w:val="22"/>
        </w:rPr>
        <w:t>оплата дорогостоящего лечения Участнику. Перечень видов дорогостоящего лечения утверждается Правительством Российской Федерации;</w:t>
      </w:r>
    </w:p>
    <w:p w14:paraId="82000000">
      <w:pPr>
        <w:pStyle w:val="Style_6"/>
        <w:widowControl w:val="0"/>
        <w:numPr>
          <w:ilvl w:val="0"/>
          <w:numId w:val="10"/>
        </w:numPr>
        <w:tabs>
          <w:tab w:leader="none" w:pos="720" w:val="clear"/>
          <w:tab w:leader="none" w:pos="993" w:val="left"/>
        </w:tabs>
        <w:spacing w:after="0" w:before="0"/>
        <w:ind w:firstLine="567" w:left="0" w:right="0"/>
        <w:contextualSpacing w:val="1"/>
      </w:pPr>
      <w:r>
        <w:rPr>
          <w:sz w:val="22"/>
        </w:rPr>
        <w:t>потеря кормильца Участника.</w:t>
      </w:r>
    </w:p>
    <w:p w14:paraId="83000000">
      <w:pPr>
        <w:pStyle w:val="Style_6"/>
        <w:widowControl w:val="0"/>
        <w:tabs>
          <w:tab w:leader="none" w:pos="720" w:val="clear"/>
          <w:tab w:leader="none" w:pos="993" w:val="left"/>
        </w:tabs>
        <w:spacing w:after="0" w:before="0"/>
        <w:ind w:firstLine="567" w:left="0" w:right="0"/>
        <w:contextualSpacing w:val="1"/>
      </w:pPr>
      <w:r>
        <w:rPr>
          <w:sz w:val="22"/>
        </w:rPr>
        <w:t>10.3.Требования к порядку определения максимального размера выкупной суммы, предусмотренной пунктом 10.2 настоящего раздела, а также к составу документов, подтверждающих возникновение особой жизненной ситуации, могут быть установлены Правительством Российской Федерации.</w:t>
      </w:r>
    </w:p>
    <w:p w14:paraId="84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 xml:space="preserve">10.4. Для получения выкупной суммы по Договору Вкладчик (Участник) должен предоставить в Фонд заявление по форме, установленной Фондом (размещается Фондом на его сайте в сети Интернет) и необходимые документы в соответствии с п. 9.1 Правил Фонда. </w:t>
      </w:r>
    </w:p>
    <w:p w14:paraId="85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10.5. Расчет выкупной суммы, подлежащей выплате Вкладчику (за исключением случаев обращения за выкупной суммой по причине возникновения особых жизненных ситуаций) установлен п. 9.4 Правил Фонда.</w:t>
      </w:r>
    </w:p>
    <w:p w14:paraId="86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Расчет выкупной суммы производится Фондом на дату принятия решения о выплате выкупной суммы.</w:t>
      </w:r>
    </w:p>
    <w:p w14:paraId="87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10.6. Включение в состав выкупной суммы единовременного взноса, дополнительных стимулирующих взносов, и дохода от их размещения не допускается, за исключением случаев получения выкупной суммы по причине возникновения особых жизненных ситуаций.</w:t>
      </w:r>
    </w:p>
    <w:p w14:paraId="88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10.7. Выкупная сумма выплачивается путем:</w:t>
      </w:r>
    </w:p>
    <w:p w14:paraId="89000000">
      <w:pPr>
        <w:pStyle w:val="Style_5"/>
        <w:widowControl w:val="0"/>
        <w:numPr>
          <w:ilvl w:val="0"/>
          <w:numId w:val="11"/>
        </w:numPr>
        <w:tabs>
          <w:tab w:leader="none" w:pos="720" w:val="clear"/>
          <w:tab w:leader="none" w:pos="1560" w:val="left"/>
        </w:tabs>
        <w:ind w:hanging="283" w:left="850" w:right="0"/>
        <w:jc w:val="both"/>
        <w:rPr>
          <w:rFonts w:ascii="Times New Roman" w:hAnsi="Times New Roman"/>
          <w:sz w:val="22"/>
        </w:rPr>
      </w:pPr>
      <w:r>
        <w:rPr>
          <w:rFonts w:ascii="Times New Roman" w:hAnsi="Times New Roman"/>
          <w:sz w:val="22"/>
        </w:rPr>
        <w:t>перечисления на банковский счёт заявителя;</w:t>
      </w:r>
    </w:p>
    <w:p w14:paraId="8A000000">
      <w:pPr>
        <w:pStyle w:val="Style_5"/>
        <w:widowControl w:val="0"/>
        <w:numPr>
          <w:ilvl w:val="0"/>
          <w:numId w:val="12"/>
        </w:numPr>
        <w:tabs>
          <w:tab w:leader="none" w:pos="720" w:val="clear"/>
          <w:tab w:leader="none" w:pos="1560" w:val="left"/>
        </w:tabs>
        <w:ind w:hanging="283" w:left="850" w:right="0"/>
        <w:jc w:val="both"/>
        <w:rPr>
          <w:rFonts w:ascii="Times New Roman" w:hAnsi="Times New Roman"/>
          <w:sz w:val="22"/>
        </w:rPr>
      </w:pPr>
      <w:r>
        <w:rPr>
          <w:rFonts w:ascii="Times New Roman" w:hAnsi="Times New Roman"/>
          <w:sz w:val="22"/>
        </w:rPr>
        <w:t>перевода в качестве сберегательного взноса по действующему(им) Договору(ам), заключённому(ым) с Фондом;</w:t>
      </w:r>
    </w:p>
    <w:p w14:paraId="8B000000">
      <w:pPr>
        <w:pStyle w:val="Style_5"/>
        <w:widowControl w:val="0"/>
        <w:numPr>
          <w:ilvl w:val="0"/>
          <w:numId w:val="13"/>
        </w:numPr>
        <w:ind w:hanging="283" w:left="850" w:right="0"/>
        <w:jc w:val="both"/>
        <w:rPr>
          <w:rFonts w:ascii="Times New Roman" w:hAnsi="Times New Roman"/>
          <w:sz w:val="22"/>
        </w:rPr>
      </w:pPr>
      <w:r>
        <w:rPr>
          <w:rFonts w:ascii="Times New Roman" w:hAnsi="Times New Roman"/>
          <w:sz w:val="22"/>
        </w:rPr>
        <w:t>перевода в другой негосударственный фонд, указанный в заявлении Вкладчика.</w:t>
      </w:r>
    </w:p>
    <w:p w14:paraId="8C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10.8. Выплата выкупных сумм Вкладчику (Участнику) осуществляется в зависимости от её размера в рублях Российской Федерации в следующие сроки:</w:t>
      </w:r>
    </w:p>
    <w:p w14:paraId="8D000000">
      <w:pPr>
        <w:pStyle w:val="Style_5"/>
        <w:widowControl w:val="0"/>
        <w:numPr>
          <w:ilvl w:val="0"/>
          <w:numId w:val="14"/>
        </w:numPr>
        <w:tabs>
          <w:tab w:leader="none" w:pos="720" w:val="clear"/>
          <w:tab w:leader="none" w:pos="1560" w:val="left"/>
        </w:tabs>
        <w:ind w:hanging="283" w:left="850" w:right="0"/>
        <w:rPr>
          <w:rFonts w:ascii="Times New Roman" w:hAnsi="Times New Roman"/>
          <w:sz w:val="22"/>
        </w:rPr>
      </w:pPr>
      <w:r>
        <w:rPr>
          <w:rFonts w:ascii="Times New Roman" w:hAnsi="Times New Roman"/>
          <w:sz w:val="22"/>
        </w:rPr>
        <w:t>до 1 000 000 рублей включительно – в течение 60 (шестидесяти) рабочих дней со дня регистрации в Фонде заявления и всех необходимых документов;</w:t>
      </w:r>
    </w:p>
    <w:p w14:paraId="8E000000">
      <w:pPr>
        <w:pStyle w:val="Style_5"/>
        <w:widowControl w:val="0"/>
        <w:numPr>
          <w:ilvl w:val="0"/>
          <w:numId w:val="15"/>
        </w:numPr>
        <w:tabs>
          <w:tab w:leader="none" w:pos="720" w:val="clear"/>
          <w:tab w:leader="none" w:pos="1560" w:val="left"/>
        </w:tabs>
        <w:ind w:hanging="283" w:left="850" w:right="0"/>
        <w:rPr>
          <w:rFonts w:ascii="Times New Roman" w:hAnsi="Times New Roman"/>
          <w:sz w:val="22"/>
        </w:rPr>
      </w:pPr>
      <w:r>
        <w:rPr>
          <w:rFonts w:ascii="Times New Roman" w:hAnsi="Times New Roman"/>
          <w:sz w:val="22"/>
        </w:rPr>
        <w:t>от 1 000 001– в течение 90 (девяноста) рабочих дней со дня регистрации в Фонде заявления и всех необходимых документов;</w:t>
      </w:r>
    </w:p>
    <w:p w14:paraId="8F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 xml:space="preserve">10.9. Для перевода выкупной суммы по Договору в другой негосударственный пенсионный фонд Вкладчик должен предоставить в Фонд не позднее 1 декабря текущего года заявление по форме, установленной Фондом (размещается Фондом на его сайте в сети Интернет), если иное не установлено законодательством Российской Федерации, и необходимые документы в соответствии с п. 9.2 Правил Фонда. </w:t>
      </w:r>
    </w:p>
    <w:p w14:paraId="90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Заявление о расторжении Договора и переводе выкупной суммы в другой фонд подлежит рассмотрению Фондом в году, следующем за годом, в котором истекает пятилетний срок, исчисляющийся начиная с года подачи заявления о расторжении Договора и переводе выкупной суммы в другой фонд, но не позднее 1 марта такого года.</w:t>
      </w:r>
    </w:p>
    <w:p w14:paraId="91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Передача выкупной суммы в другой негосударственный пенсионный фонд осуществляется не позднее 31 марта года, следующего за годом, в котором истекает пятилетний срок, исчисляющийся, начиная с года подачи заявления о расторжении Договора и переводе выкупной суммы в другой фонд (ст. 36.43 Федерального закона № 75-ФЗ).</w:t>
      </w:r>
    </w:p>
    <w:p w14:paraId="92000000">
      <w:pPr>
        <w:pStyle w:val="Style_5"/>
        <w:keepNext w:val="1"/>
        <w:keepLines w:val="1"/>
        <w:widowControl w:val="0"/>
        <w:numPr>
          <w:ilvl w:val="0"/>
          <w:numId w:val="0"/>
        </w:numPr>
        <w:tabs>
          <w:tab w:leader="none" w:pos="350" w:val="left"/>
          <w:tab w:leader="none" w:pos="720" w:val="clear"/>
        </w:tabs>
        <w:ind w:firstLine="567" w:left="0" w:right="0"/>
        <w:jc w:val="both"/>
        <w:outlineLvl w:val="0"/>
        <w:rPr>
          <w:rFonts w:ascii="Times New Roman" w:hAnsi="Times New Roman"/>
          <w:sz w:val="22"/>
        </w:rPr>
      </w:pPr>
      <w:r>
        <w:rPr>
          <w:rFonts w:ascii="Times New Roman" w:hAnsi="Times New Roman"/>
          <w:sz w:val="22"/>
        </w:rPr>
        <w:t>Передаче Фондом в выбранный Вкладчиком негосударственный пенсионный фонд подлежит остаток средств на счете ДС Вкладчика.</w:t>
      </w:r>
    </w:p>
    <w:p w14:paraId="93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r>
        <w:rPr>
          <w:rFonts w:ascii="Times New Roman" w:hAnsi="Times New Roman"/>
          <w:b w:val="1"/>
          <w:sz w:val="22"/>
        </w:rPr>
        <w:t>ФОРС-МАЖОР</w:t>
      </w:r>
      <w:bookmarkEnd w:id="10"/>
    </w:p>
    <w:p w14:paraId="94000000">
      <w:pPr>
        <w:pStyle w:val="Style_3"/>
        <w:widowControl w:val="0"/>
        <w:tabs>
          <w:tab w:leader="none" w:pos="720" w:val="clear"/>
          <w:tab w:leader="none" w:pos="1143" w:val="left"/>
        </w:tabs>
        <w:ind w:firstLine="580" w:left="0" w:right="0"/>
        <w:jc w:val="both"/>
        <w:rPr>
          <w:rFonts w:ascii="Times New Roman" w:hAnsi="Times New Roman"/>
          <w:sz w:val="22"/>
        </w:rPr>
      </w:pPr>
      <w:r>
        <w:rPr>
          <w:rFonts w:ascii="Times New Roman" w:hAnsi="Times New Roman"/>
          <w:sz w:val="22"/>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возникших после заключения Договора, которые Сторона не могла ни предвидеть, ни предотвратить разумными мерами. К обстоятельствам непреодолимой силы относятся: землетрясение, наводнение, пожар, а также забастовки, акты органов государственной власти, военные действия любого характера, препятствующие исполнению Договора.</w:t>
      </w:r>
    </w:p>
    <w:p w14:paraId="95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11" w:name="bookmark34"/>
      <w:r>
        <w:rPr>
          <w:rFonts w:ascii="Times New Roman" w:hAnsi="Times New Roman"/>
          <w:b w:val="1"/>
          <w:sz w:val="22"/>
        </w:rPr>
        <w:t>УРЕГУЛИРОВАНИЕ СПОРОВ</w:t>
      </w:r>
      <w:bookmarkEnd w:id="11"/>
    </w:p>
    <w:p w14:paraId="96000000">
      <w:pPr>
        <w:pStyle w:val="Style_2"/>
        <w:keepNext w:val="1"/>
        <w:keepLines w:val="1"/>
        <w:widowControl w:val="0"/>
        <w:tabs>
          <w:tab w:leader="none" w:pos="394" w:val="left"/>
          <w:tab w:leader="none" w:pos="720" w:val="clear"/>
        </w:tabs>
        <w:ind w:firstLine="567" w:left="0" w:right="0"/>
        <w:jc w:val="both"/>
        <w:rPr>
          <w:rFonts w:ascii="Times New Roman" w:hAnsi="Times New Roman"/>
          <w:sz w:val="22"/>
        </w:rPr>
      </w:pPr>
      <w:r>
        <w:rPr>
          <w:rFonts w:ascii="Times New Roman" w:hAnsi="Times New Roman"/>
          <w:b w:val="0"/>
          <w:sz w:val="22"/>
        </w:rPr>
        <w:t>12.1. Споры, которые могут возникнуть при выполнении настоящего Договора, Стороны решают путём переговоров. При невозможности достижения соглашения между Сторонами споры между Участником и Фондом решаются в установленном законом порядке.</w:t>
      </w:r>
    </w:p>
    <w:p w14:paraId="97000000">
      <w:pPr>
        <w:pStyle w:val="Style_2"/>
        <w:keepNext w:val="1"/>
        <w:keepLines w:val="1"/>
        <w:widowControl w:val="0"/>
        <w:tabs>
          <w:tab w:leader="none" w:pos="394" w:val="left"/>
          <w:tab w:leader="none" w:pos="720" w:val="clear"/>
        </w:tabs>
        <w:ind w:firstLine="567" w:left="0" w:right="0"/>
        <w:jc w:val="both"/>
        <w:rPr>
          <w:rFonts w:ascii="Times New Roman" w:hAnsi="Times New Roman"/>
          <w:b w:val="0"/>
          <w:sz w:val="22"/>
        </w:rPr>
      </w:pPr>
      <w:r>
        <w:rPr>
          <w:rFonts w:ascii="Times New Roman" w:hAnsi="Times New Roman"/>
          <w:b w:val="0"/>
          <w:sz w:val="22"/>
        </w:rPr>
        <w:t>12.2. При урегулировании споров Стороны руководствуются действующими на момент заключения Договора законодательством Российской Федерации и Правилами Фонда.</w:t>
      </w:r>
    </w:p>
    <w:p w14:paraId="98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12" w:name="bookmark36"/>
      <w:bookmarkEnd w:id="12"/>
      <w:r>
        <w:rPr>
          <w:rFonts w:ascii="Times New Roman" w:hAnsi="Times New Roman"/>
          <w:b w:val="1"/>
          <w:sz w:val="22"/>
        </w:rPr>
        <w:t>ЗАКЛЮЧИТЕЛЬНЫЕ ПОЛОЖЕНИЯ</w:t>
      </w:r>
    </w:p>
    <w:p w14:paraId="99000000">
      <w:pPr>
        <w:pStyle w:val="Style_5"/>
        <w:widowControl w:val="0"/>
        <w:ind w:firstLine="567" w:left="0" w:right="0"/>
        <w:jc w:val="both"/>
        <w:rPr>
          <w:rFonts w:ascii="Times New Roman" w:hAnsi="Times New Roman"/>
          <w:sz w:val="22"/>
        </w:rPr>
      </w:pPr>
      <w:r>
        <w:rPr>
          <w:rFonts w:ascii="Times New Roman" w:hAnsi="Times New Roman"/>
          <w:sz w:val="22"/>
        </w:rPr>
        <w:t xml:space="preserve">13.1. Договор вступает в силу с момента его подписания Сторонами и действует до полного исполнения Сторонами обязательств по настоящему Договору. </w:t>
      </w:r>
    </w:p>
    <w:p w14:paraId="9A000000">
      <w:pPr>
        <w:pStyle w:val="Style_5"/>
        <w:widowControl w:val="0"/>
        <w:ind w:firstLine="567" w:left="0" w:right="0"/>
        <w:jc w:val="both"/>
        <w:rPr>
          <w:rFonts w:ascii="Times New Roman" w:hAnsi="Times New Roman"/>
          <w:sz w:val="22"/>
        </w:rPr>
      </w:pPr>
      <w:r>
        <w:rPr>
          <w:rFonts w:ascii="Times New Roman" w:hAnsi="Times New Roman"/>
          <w:sz w:val="22"/>
        </w:rPr>
        <w:t xml:space="preserve">13.2. Настоящий Договор не может противоречить Правилам Фонда, действующим на момент заключения, и рассматриваться отдельно от них. </w:t>
      </w:r>
    </w:p>
    <w:p w14:paraId="9B000000">
      <w:pPr>
        <w:pStyle w:val="Style_5"/>
        <w:widowControl w:val="0"/>
        <w:ind w:firstLine="567" w:left="0" w:right="0"/>
        <w:jc w:val="both"/>
        <w:rPr>
          <w:rFonts w:ascii="Times New Roman" w:hAnsi="Times New Roman"/>
          <w:sz w:val="22"/>
        </w:rPr>
      </w:pPr>
      <w:r>
        <w:rPr>
          <w:rFonts w:ascii="Times New Roman" w:hAnsi="Times New Roman"/>
          <w:sz w:val="22"/>
        </w:rPr>
        <w:t>13.3. Договор составлен в двух экземплярах, имеющих равную силу, по одному для каждой из Сторон.</w:t>
      </w:r>
    </w:p>
    <w:p w14:paraId="9C000000">
      <w:pPr>
        <w:pStyle w:val="Style_5"/>
        <w:widowControl w:val="0"/>
        <w:ind w:firstLine="567" w:left="0" w:right="0"/>
        <w:jc w:val="both"/>
        <w:rPr>
          <w:rFonts w:ascii="Times New Roman" w:hAnsi="Times New Roman"/>
          <w:sz w:val="22"/>
        </w:rPr>
      </w:pPr>
      <w:r>
        <w:rPr>
          <w:rFonts w:ascii="Times New Roman" w:hAnsi="Times New Roman"/>
          <w:sz w:val="22"/>
        </w:rPr>
        <w:t xml:space="preserve">13.4. Вкладчик до заключения Договора ознакомлен с условиями Договора, Правилами Фонда и Ключевым информационным документом, размещенном на официальном сайте Фонда в сети Интернет </w:t>
      </w:r>
      <w:r>
        <w:rPr>
          <w:rFonts w:ascii="Times New Roman" w:hAnsi="Times New Roman"/>
          <w:sz w:val="22"/>
        </w:rPr>
        <w:br/>
      </w:r>
      <w:r>
        <w:rPr>
          <w:rFonts w:ascii="Times New Roman" w:hAnsi="Times New Roman"/>
          <w:sz w:val="22"/>
        </w:rPr>
        <w:t>www.npf-atom.ru/.ru</w:t>
      </w:r>
      <w:r>
        <w:rPr>
          <w:rFonts w:ascii="Times New Roman" w:hAnsi="Times New Roman"/>
          <w:sz w:val="22"/>
        </w:rPr>
        <w:fldChar w:fldCharType="begin"/>
      </w:r>
      <w:r>
        <w:rPr>
          <w:rFonts w:ascii="Times New Roman" w:hAnsi="Times New Roman"/>
          <w:sz w:val="22"/>
        </w:rPr>
        <w:instrText>HYPERLINK "http://www.npfb.ru/"</w:instrText>
      </w:r>
      <w:r>
        <w:rPr>
          <w:rFonts w:ascii="Times New Roman" w:hAnsi="Times New Roman"/>
          <w:sz w:val="22"/>
        </w:rPr>
        <w:fldChar w:fldCharType="separate"/>
      </w:r>
      <w:r>
        <w:rPr>
          <w:rFonts w:ascii="Times New Roman" w:hAnsi="Times New Roman"/>
          <w:sz w:val="22"/>
        </w:rPr>
        <w:t>.</w:t>
      </w:r>
      <w:r>
        <w:rPr>
          <w:rFonts w:ascii="Times New Roman" w:hAnsi="Times New Roman"/>
          <w:sz w:val="22"/>
        </w:rPr>
        <w:fldChar w:fldCharType="end"/>
      </w:r>
      <w:r>
        <w:rPr>
          <w:rFonts w:ascii="Times New Roman" w:hAnsi="Times New Roman"/>
          <w:sz w:val="22"/>
        </w:rPr>
        <w:t xml:space="preserve"> Правила Фонда применяются в части, не противоречащей законодательству Российской Федерации, действующему на дату заключения настоящего Договора.</w:t>
      </w:r>
    </w:p>
    <w:p w14:paraId="9D000000">
      <w:pPr>
        <w:pStyle w:val="Style_3"/>
        <w:widowControl w:val="0"/>
        <w:tabs>
          <w:tab w:leader="none" w:pos="720" w:val="clear"/>
          <w:tab w:leader="none" w:pos="1153" w:val="left"/>
        </w:tabs>
        <w:ind w:firstLine="580" w:left="0" w:right="0"/>
        <w:jc w:val="both"/>
        <w:rPr>
          <w:rFonts w:ascii="Times New Roman" w:hAnsi="Times New Roman"/>
          <w:sz w:val="22"/>
        </w:rPr>
      </w:pPr>
      <w:r>
        <w:rPr>
          <w:rFonts w:ascii="Times New Roman" w:hAnsi="Times New Roman"/>
          <w:sz w:val="22"/>
        </w:rPr>
        <w:t>Подписывая Договор, Вкладчик дает согласие на предоставление Фонду персональных данных, предусмотренных Договором, на их использование и обработку Фондом для целей, связанных с исполнением Договора, на взаимодействие с Фондом путем осуществления прямых контактов, в том числе с использованием телефонных звонков, текстовых и иных сообщений, включая почтовые/e-mail отправления, сервис Личный кабинет.</w:t>
      </w:r>
    </w:p>
    <w:p w14:paraId="9E000000">
      <w:pPr>
        <w:pStyle w:val="Style_3"/>
        <w:widowControl w:val="0"/>
        <w:tabs>
          <w:tab w:leader="none" w:pos="720" w:val="clear"/>
          <w:tab w:leader="none" w:pos="1153" w:val="left"/>
        </w:tabs>
        <w:ind w:firstLine="580" w:left="0" w:right="0"/>
        <w:jc w:val="both"/>
        <w:rPr>
          <w:rFonts w:ascii="Times New Roman" w:hAnsi="Times New Roman"/>
          <w:sz w:val="22"/>
        </w:rPr>
      </w:pPr>
    </w:p>
    <w:p w14:paraId="9F000000">
      <w:pPr>
        <w:pStyle w:val="Style_3"/>
        <w:widowControl w:val="0"/>
        <w:tabs>
          <w:tab w:leader="none" w:pos="720" w:val="clear"/>
          <w:tab w:leader="none" w:pos="1153" w:val="left"/>
        </w:tabs>
        <w:ind w:firstLine="580" w:left="0" w:right="0"/>
        <w:jc w:val="both"/>
        <w:rPr>
          <w:rFonts w:ascii="Times New Roman" w:hAnsi="Times New Roman"/>
          <w:sz w:val="22"/>
        </w:rPr>
      </w:pPr>
      <w:r>
        <w:rPr>
          <w:rFonts w:ascii="Times New Roman" w:hAnsi="Times New Roman"/>
          <w:sz w:val="22"/>
        </w:rPr>
        <w:t>Фонд уведомляет Вкладчика (Участника) об изменении своих реквизитов посредством размещения соответствующей информации на официальном сайте Фонда в сети интернет: www.npf-atom.ru/.ru</w:t>
      </w:r>
      <w:r>
        <w:rPr>
          <w:rFonts w:ascii="Times New Roman" w:hAnsi="Times New Roman"/>
          <w:sz w:val="22"/>
        </w:rPr>
        <w:fldChar w:fldCharType="begin"/>
      </w:r>
      <w:r>
        <w:rPr>
          <w:rFonts w:ascii="Times New Roman" w:hAnsi="Times New Roman"/>
          <w:sz w:val="22"/>
        </w:rPr>
        <w:instrText>HYPERLINK "http://www.npfb.ru/"</w:instrText>
      </w:r>
      <w:r>
        <w:rPr>
          <w:rFonts w:ascii="Times New Roman" w:hAnsi="Times New Roman"/>
          <w:sz w:val="22"/>
        </w:rPr>
        <w:fldChar w:fldCharType="separate"/>
      </w:r>
      <w:r>
        <w:rPr>
          <w:rFonts w:ascii="Times New Roman" w:hAnsi="Times New Roman"/>
          <w:sz w:val="22"/>
        </w:rPr>
        <w:t>.</w:t>
      </w:r>
      <w:r>
        <w:rPr>
          <w:rFonts w:ascii="Times New Roman" w:hAnsi="Times New Roman"/>
          <w:sz w:val="22"/>
        </w:rPr>
        <w:fldChar w:fldCharType="end"/>
      </w:r>
    </w:p>
    <w:p w14:paraId="A0000000">
      <w:pPr>
        <w:pStyle w:val="Style_5"/>
        <w:keepNext w:val="1"/>
        <w:keepLines w:val="1"/>
        <w:widowControl w:val="0"/>
        <w:numPr>
          <w:ilvl w:val="0"/>
          <w:numId w:val="1"/>
        </w:numPr>
        <w:tabs>
          <w:tab w:leader="none" w:pos="350" w:val="left"/>
          <w:tab w:leader="none" w:pos="720" w:val="clear"/>
        </w:tabs>
        <w:spacing w:after="120" w:before="120"/>
        <w:ind w:firstLine="0" w:left="0" w:right="0"/>
        <w:jc w:val="center"/>
        <w:outlineLvl w:val="0"/>
        <w:rPr>
          <w:rFonts w:ascii="Times New Roman" w:hAnsi="Times New Roman"/>
          <w:b w:val="1"/>
          <w:sz w:val="22"/>
        </w:rPr>
      </w:pPr>
      <w:bookmarkStart w:id="13" w:name="bookmark38"/>
      <w:r>
        <w:rPr>
          <w:rFonts w:ascii="Times New Roman" w:hAnsi="Times New Roman"/>
          <w:b w:val="1"/>
          <w:sz w:val="22"/>
        </w:rPr>
        <w:t>АДРЕСА И РЕКВИЗИТЫ СТОРОН:</w:t>
      </w:r>
      <w:bookmarkEnd w:id="13"/>
    </w:p>
    <w:p w14:paraId="A1000000">
      <w:pPr>
        <w:pStyle w:val="Style_5"/>
        <w:keepNext w:val="1"/>
        <w:keepLines w:val="1"/>
        <w:widowControl w:val="0"/>
        <w:numPr>
          <w:ilvl w:val="0"/>
          <w:numId w:val="0"/>
        </w:numPr>
        <w:tabs>
          <w:tab w:leader="none" w:pos="350" w:val="left"/>
          <w:tab w:leader="none" w:pos="720" w:val="clear"/>
        </w:tabs>
        <w:spacing w:after="120" w:before="120"/>
        <w:ind w:firstLine="0" w:left="0" w:right="0"/>
        <w:outlineLvl w:val="0"/>
        <w:rPr>
          <w:rFonts w:ascii="Times New Roman" w:hAnsi="Times New Roman"/>
          <w:b w:val="1"/>
          <w:sz w:val="22"/>
        </w:rPr>
      </w:pPr>
      <w:r>
        <w:rPr>
          <w:rFonts w:ascii="Times New Roman" w:hAnsi="Times New Roman"/>
          <w:b w:val="1"/>
          <w:sz w:val="22"/>
        </w:rPr>
        <w:tab/>
      </w:r>
      <w:r>
        <w:rPr>
          <w:rFonts w:ascii="Times New Roman" w:hAnsi="Times New Roman"/>
          <w:b w:val="1"/>
          <w:sz w:val="22"/>
        </w:rPr>
        <w:tab/>
      </w:r>
      <w:r>
        <w:rPr>
          <w:rFonts w:ascii="Times New Roman" w:hAnsi="Times New Roman"/>
          <w:b w:val="1"/>
          <w:sz w:val="22"/>
        </w:rPr>
        <w:t>Фонд</w:t>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Вкладчик ( Участник )</w:t>
      </w:r>
    </w:p>
    <w:tbl>
      <w:tblPr>
        <w:tblStyle w:val="Style_7"/>
        <w:tblW w:type="auto" w:w="0"/>
        <w:jc w:val="left"/>
        <w:tblInd w:type="dxa" w:w="0"/>
        <w:tblLayout w:type="fixed"/>
        <w:tblCellMar>
          <w:top w:type="dxa" w:w="0"/>
          <w:left w:type="dxa" w:w="108"/>
          <w:bottom w:type="dxa" w:w="0"/>
          <w:right w:type="dxa" w:w="108"/>
        </w:tblCellMar>
      </w:tblPr>
      <w:tblGrid>
        <w:gridCol w:w="4995"/>
        <w:gridCol w:w="2675"/>
        <w:gridCol w:w="139"/>
        <w:gridCol w:w="1333"/>
        <w:gridCol w:w="1216"/>
        <w:gridCol w:w="383"/>
      </w:tblGrid>
      <w:tr>
        <w:trPr>
          <w:trHeight w:hRule="atLeast" w:val="588"/>
        </w:trPr>
        <w:tc>
          <w:tcPr>
            <w:tcW w:type="dxa" w:w="499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00000">
            <w:pPr>
              <w:pStyle w:val="Style_5"/>
              <w:widowControl w:val="0"/>
              <w:spacing w:after="0" w:before="0" w:line="240" w:lineRule="auto"/>
              <w:ind w:firstLine="0" w:left="0" w:right="0"/>
              <w:jc w:val="left"/>
              <w:rPr>
                <w:sz w:val="20"/>
              </w:rPr>
            </w:pPr>
            <w:r>
              <w:rPr>
                <w:rFonts w:ascii="Times New Roman" w:hAnsi="Times New Roman"/>
                <w:b w:val="1"/>
                <w:color w:val="000000"/>
                <w:spacing w:val="0"/>
                <w:sz w:val="20"/>
              </w:rPr>
              <w:t xml:space="preserve">Акционерное общество Негосударственный пенсионный фонд «Атомгарант» </w:t>
            </w: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A3000000">
            <w:pPr>
              <w:pStyle w:val="Style_5"/>
              <w:widowControl w:val="0"/>
              <w:spacing w:after="0" w:before="0" w:line="240" w:lineRule="auto"/>
              <w:ind w:firstLine="0" w:left="0" w:right="0"/>
              <w:jc w:val="left"/>
              <w:rPr>
                <w:rFonts w:ascii="Times New Roman" w:hAnsi="Times New Roman"/>
                <w:b w:val="1"/>
                <w:sz w:val="20"/>
              </w:rPr>
            </w:pPr>
          </w:p>
          <w:p w14:paraId="A4000000">
            <w:pPr>
              <w:pStyle w:val="Style_5"/>
              <w:widowControl w:val="0"/>
              <w:spacing w:after="0" w:before="0" w:line="240" w:lineRule="auto"/>
              <w:ind w:firstLine="0" w:left="0" w:right="0"/>
              <w:jc w:val="left"/>
              <w:rPr>
                <w:rFonts w:ascii="Times New Roman" w:hAnsi="Times New Roman"/>
                <w:b w:val="1"/>
                <w:sz w:val="20"/>
              </w:rPr>
            </w:pPr>
          </w:p>
        </w:tc>
      </w:tr>
      <w:tr>
        <w:trPr>
          <w:trHeight w:hRule="atLeast" w:val="200"/>
        </w:trPr>
        <w:tc>
          <w:tcPr>
            <w:tcW w:type="dxa" w:w="499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00000">
            <w:pPr>
              <w:pStyle w:val="Style_5"/>
              <w:widowControl w:val="0"/>
              <w:spacing w:after="0" w:before="0" w:line="240" w:lineRule="auto"/>
              <w:ind w:firstLine="0" w:left="0" w:right="0"/>
              <w:jc w:val="left"/>
              <w:rPr>
                <w:rFonts w:ascii="Times New Roman" w:hAnsi="Times New Roman"/>
                <w:b w:val="1"/>
                <w:i w:val="1"/>
                <w:sz w:val="16"/>
              </w:rPr>
            </w:pPr>
            <w:r>
              <w:rPr>
                <w:rFonts w:ascii="Times New Roman" w:hAnsi="Times New Roman"/>
                <w:i w:val="1"/>
                <w:color w:val="000000"/>
                <w:spacing w:val="0"/>
                <w:sz w:val="16"/>
              </w:rPr>
              <w:t>фамилия, имя, отчество (при наличии)</w:t>
            </w:r>
          </w:p>
        </w:tc>
      </w:tr>
      <w:tr>
        <w:trPr>
          <w:trHeight w:hRule="atLeast" w:val="266"/>
        </w:trPr>
        <w:tc>
          <w:tcPr>
            <w:tcW w:type="dxa" w:w="499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00000">
            <w:pPr>
              <w:pStyle w:val="Style_5"/>
              <w:widowControl w:val="0"/>
              <w:spacing w:after="0" w:before="0" w:line="240" w:lineRule="auto"/>
              <w:ind w:firstLine="0" w:left="0" w:right="0"/>
              <w:jc w:val="left"/>
              <w:rPr>
                <w:rFonts w:ascii="Times New Roman" w:hAnsi="Times New Roman"/>
                <w:b w:val="1"/>
                <w:sz w:val="20"/>
              </w:rPr>
            </w:pPr>
          </w:p>
        </w:tc>
      </w:tr>
      <w:tr>
        <w:trPr>
          <w:trHeight w:hRule="atLeast" w:val="266"/>
        </w:trPr>
        <w:tc>
          <w:tcPr>
            <w:tcW w:type="dxa" w:w="499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00000">
            <w:pPr>
              <w:pStyle w:val="Style_5"/>
              <w:widowControl w:val="0"/>
              <w:spacing w:after="0" w:before="0" w:line="240" w:lineRule="auto"/>
              <w:ind w:firstLine="0" w:left="0" w:right="0"/>
              <w:jc w:val="left"/>
              <w:rPr>
                <w:rFonts w:ascii="Times New Roman" w:hAnsi="Times New Roman"/>
                <w:i w:val="1"/>
                <w:color w:val="000000"/>
                <w:spacing w:val="0"/>
                <w:sz w:val="16"/>
              </w:rPr>
            </w:pPr>
            <w:r>
              <w:rPr>
                <w:rStyle w:val="Style_5_ch"/>
                <w:rFonts w:ascii="Times New Roman" w:hAnsi="Times New Roman"/>
                <w:i w:val="1"/>
                <w:color w:val="000000"/>
                <w:spacing w:val="0"/>
                <w:sz w:val="16"/>
              </w:rPr>
              <w:t>фамилия при рождении</w:t>
            </w:r>
          </w:p>
        </w:tc>
      </w:tr>
      <w:tr>
        <w:trPr>
          <w:trHeight w:hRule="atLeast" w:val="266"/>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A8000000">
            <w:pPr>
              <w:pStyle w:val="Style_8"/>
              <w:widowControl w:val="0"/>
              <w:spacing w:after="0" w:before="0" w:line="240" w:lineRule="auto"/>
              <w:ind w:firstLine="0" w:left="0" w:right="0"/>
              <w:jc w:val="left"/>
              <w:rPr>
                <w:rFonts w:ascii="Times New Roman" w:hAnsi="Times New Roman"/>
                <w:b w:val="0"/>
                <w:i w:val="0"/>
                <w:caps w:val="0"/>
                <w:smallCaps w:val="0"/>
                <w:color w:val="000000"/>
                <w:spacing w:val="0"/>
                <w:sz w:val="20"/>
              </w:rPr>
            </w:pPr>
            <w:r>
              <w:rPr>
                <w:color w:val="000000"/>
                <w:spacing w:val="0"/>
                <w:sz w:val="20"/>
              </w:rPr>
              <w:t xml:space="preserve">ОГРН </w:t>
            </w:r>
            <w:r>
              <w:rPr>
                <w:b w:val="0"/>
                <w:i w:val="0"/>
                <w:caps w:val="0"/>
                <w:smallCaps w:val="0"/>
                <w:color w:val="000000"/>
                <w:spacing w:val="0"/>
                <w:sz w:val="20"/>
              </w:rPr>
              <w:t>1187700014150</w:t>
            </w: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00000">
            <w:pPr>
              <w:pStyle w:val="Style_5"/>
              <w:widowControl w:val="0"/>
              <w:spacing w:after="0" w:before="0" w:line="240" w:lineRule="auto"/>
              <w:ind w:firstLine="0" w:left="0" w:right="0"/>
              <w:jc w:val="left"/>
              <w:rPr>
                <w:rFonts w:ascii="Times New Roman" w:hAnsi="Times New Roman"/>
                <w:b w:val="1"/>
                <w:sz w:val="20"/>
              </w:rPr>
            </w:pPr>
            <w:r>
              <w:rPr>
                <w:rFonts w:ascii="Times New Roman" w:hAnsi="Times New Roman"/>
                <w:color w:val="000000"/>
                <w:spacing w:val="0"/>
                <w:sz w:val="20"/>
              </w:rPr>
              <w:t xml:space="preserve">Дата рождения: </w:t>
            </w:r>
          </w:p>
        </w:tc>
      </w:tr>
      <w:tr>
        <w:trPr>
          <w:trHeight w:hRule="atLeast" w:val="158"/>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AA000000">
            <w:pPr>
              <w:pStyle w:val="Style_8"/>
              <w:widowControl w:val="0"/>
              <w:spacing w:after="0" w:before="0" w:line="240" w:lineRule="auto"/>
              <w:ind w:firstLine="0" w:left="0" w:right="0"/>
              <w:jc w:val="left"/>
              <w:rPr>
                <w:rFonts w:ascii="Times New Roman" w:hAnsi="Times New Roman"/>
                <w:b w:val="0"/>
                <w:i w:val="0"/>
                <w:caps w:val="0"/>
                <w:smallCaps w:val="0"/>
                <w:color w:val="000000"/>
                <w:spacing w:val="0"/>
                <w:sz w:val="20"/>
              </w:rPr>
            </w:pPr>
            <w:r>
              <w:rPr>
                <w:color w:val="000000"/>
                <w:spacing w:val="0"/>
                <w:sz w:val="20"/>
              </w:rPr>
              <w:t xml:space="preserve">ИНН </w:t>
            </w:r>
            <w:r>
              <w:rPr>
                <w:b w:val="0"/>
                <w:i w:val="0"/>
                <w:caps w:val="0"/>
                <w:smallCaps w:val="0"/>
                <w:color w:val="000000"/>
                <w:spacing w:val="0"/>
                <w:sz w:val="20"/>
              </w:rPr>
              <w:t>9709035592</w:t>
            </w: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Место рождения:</w:t>
            </w:r>
            <w:r>
              <w:rPr>
                <w:b w:val="0"/>
                <w:i w:val="0"/>
                <w:color w:val="000000"/>
                <w:spacing w:val="0"/>
                <w:sz w:val="20"/>
              </w:rPr>
              <w:t xml:space="preserve"> </w:t>
            </w:r>
          </w:p>
        </w:tc>
      </w:tr>
      <w:tr>
        <w:trPr>
          <w:trHeight w:hRule="atLeast" w:val="213"/>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AC000000">
            <w:pPr>
              <w:pStyle w:val="Style_8"/>
              <w:widowControl w:val="0"/>
              <w:spacing w:after="0" w:before="0" w:line="240" w:lineRule="auto"/>
              <w:ind w:firstLine="0" w:left="0" w:right="0"/>
              <w:jc w:val="left"/>
              <w:rPr>
                <w:rFonts w:ascii="Times New Roman" w:hAnsi="Times New Roman"/>
                <w:b w:val="1"/>
                <w:i w:val="1"/>
                <w:color w:val="000000"/>
                <w:sz w:val="20"/>
              </w:rPr>
            </w:pPr>
            <w:r>
              <w:rPr>
                <w:color w:val="000000"/>
                <w:spacing w:val="0"/>
                <w:sz w:val="20"/>
              </w:rPr>
              <w:t xml:space="preserve">КПП </w:t>
            </w:r>
            <w:r>
              <w:rPr>
                <w:b w:val="0"/>
                <w:i w:val="0"/>
                <w:caps w:val="0"/>
                <w:smallCaps w:val="0"/>
                <w:color w:val="000000"/>
                <w:spacing w:val="0"/>
                <w:sz w:val="20"/>
                <w:highlight w:val="white"/>
              </w:rPr>
              <w:t>770901001</w:t>
            </w:r>
          </w:p>
        </w:tc>
        <w:tc>
          <w:tcPr>
            <w:tcW w:type="dxa" w:w="2814"/>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Пол: </w:t>
            </w:r>
          </w:p>
        </w:tc>
        <w:tc>
          <w:tcPr>
            <w:tcW w:type="dxa" w:w="2932"/>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00000">
            <w:pPr>
              <w:pStyle w:val="Style_5"/>
              <w:widowControl w:val="0"/>
              <w:spacing w:after="0" w:before="0" w:line="240" w:lineRule="auto"/>
              <w:ind w:firstLine="0" w:left="0" w:right="0"/>
              <w:jc w:val="center"/>
              <w:rPr>
                <w:rFonts w:ascii="Times New Roman" w:hAnsi="Times New Roman"/>
                <w:sz w:val="20"/>
              </w:rPr>
            </w:pPr>
          </w:p>
        </w:tc>
      </w:tr>
      <w:tr>
        <w:trPr>
          <w:trHeight w:hRule="atLeast" w:val="477"/>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AF000000">
            <w:pPr>
              <w:pStyle w:val="Style_8"/>
              <w:widowControl w:val="0"/>
              <w:spacing w:after="0" w:before="0" w:line="240" w:lineRule="auto"/>
              <w:ind w:firstLine="0" w:left="0" w:right="0"/>
              <w:jc w:val="left"/>
              <w:rPr>
                <w:sz w:val="20"/>
              </w:rPr>
            </w:pPr>
            <w:r>
              <w:rPr>
                <w:color w:val="000000"/>
                <w:spacing w:val="0"/>
                <w:sz w:val="20"/>
              </w:rPr>
              <w:t>109147, г. Москва, ул. Б. Андроньевская, дом 23, стр. 1</w:t>
            </w:r>
          </w:p>
          <w:p w14:paraId="B0000000">
            <w:pPr>
              <w:pStyle w:val="Style_8"/>
              <w:widowControl w:val="0"/>
              <w:spacing w:after="0" w:before="0" w:line="240" w:lineRule="auto"/>
              <w:ind w:firstLine="0" w:left="0" w:right="0"/>
              <w:jc w:val="left"/>
              <w:rPr>
                <w:b w:val="1"/>
                <w:i w:val="1"/>
                <w:sz w:val="20"/>
              </w:rPr>
            </w:pP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Реквизиты документа, удостоверяющего личность: </w:t>
            </w:r>
          </w:p>
          <w:p w14:paraId="B2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серия            номер  </w:t>
            </w:r>
          </w:p>
        </w:tc>
      </w:tr>
      <w:tr>
        <w:trPr>
          <w:trHeight w:hRule="atLeast" w:val="224"/>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B3000000">
            <w:pPr>
              <w:pStyle w:val="Style_8"/>
              <w:widowControl w:val="0"/>
              <w:spacing w:after="0" w:before="0" w:line="240" w:lineRule="auto"/>
              <w:ind w:firstLine="0" w:left="0" w:right="0"/>
              <w:jc w:val="left"/>
              <w:rPr>
                <w:b w:val="1"/>
                <w:i w:val="1"/>
                <w:sz w:val="20"/>
              </w:rPr>
            </w:pPr>
            <w:r>
              <w:rPr>
                <w:color w:val="000000"/>
                <w:spacing w:val="0"/>
                <w:sz w:val="20"/>
              </w:rPr>
              <w:t xml:space="preserve">Банковские реквизиты </w:t>
            </w: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00000">
            <w:pPr>
              <w:pStyle w:val="Style_5"/>
              <w:widowControl w:val="0"/>
              <w:spacing w:after="0" w:before="0" w:line="240" w:lineRule="auto"/>
              <w:ind w:firstLine="0" w:left="0" w:right="0"/>
              <w:jc w:val="left"/>
              <w:rPr>
                <w:rFonts w:ascii="Times New Roman" w:hAnsi="Times New Roman"/>
                <w:b w:val="1"/>
                <w:sz w:val="20"/>
              </w:rPr>
            </w:pPr>
            <w:r>
              <w:rPr>
                <w:rFonts w:ascii="Times New Roman" w:hAnsi="Times New Roman"/>
                <w:color w:val="000000"/>
                <w:spacing w:val="0"/>
                <w:sz w:val="20"/>
              </w:rPr>
              <w:t>дата</w:t>
            </w:r>
            <w:r>
              <w:rPr>
                <w:rFonts w:ascii="Times New Roman" w:hAnsi="Times New Roman"/>
                <w:color w:val="000000"/>
                <w:spacing w:val="0"/>
                <w:sz w:val="20"/>
              </w:rPr>
              <w:t xml:space="preserve"> выда</w:t>
            </w:r>
            <w:r>
              <w:rPr>
                <w:rFonts w:ascii="Times New Roman" w:hAnsi="Times New Roman"/>
                <w:color w:val="000000"/>
                <w:spacing w:val="0"/>
                <w:sz w:val="20"/>
              </w:rPr>
              <w:t>чи</w:t>
            </w:r>
            <w:r>
              <w:rPr>
                <w:rFonts w:ascii="Times New Roman" w:hAnsi="Times New Roman"/>
                <w:color w:val="000000"/>
                <w:spacing w:val="0"/>
                <w:sz w:val="20"/>
              </w:rPr>
              <w:t xml:space="preserve">: </w:t>
            </w:r>
          </w:p>
        </w:tc>
      </w:tr>
      <w:tr>
        <w:trPr>
          <w:trHeight w:hRule="atLeast" w:val="520"/>
        </w:trPr>
        <w:tc>
          <w:tcPr>
            <w:tcW w:type="dxa" w:w="499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B5000000">
            <w:pPr>
              <w:pStyle w:val="Style_8"/>
              <w:widowControl w:val="0"/>
              <w:spacing w:after="0" w:before="0" w:line="240" w:lineRule="auto"/>
              <w:ind w:firstLine="0" w:left="0" w:right="0"/>
              <w:jc w:val="left"/>
              <w:rPr>
                <w:sz w:val="20"/>
              </w:rPr>
            </w:pPr>
            <w:r>
              <w:rPr>
                <w:color w:val="000000"/>
                <w:spacing w:val="0"/>
                <w:sz w:val="20"/>
              </w:rPr>
              <w:t xml:space="preserve">р/счет  в </w:t>
            </w:r>
          </w:p>
          <w:p w14:paraId="B6000000">
            <w:pPr>
              <w:pStyle w:val="Style_8"/>
              <w:widowControl w:val="0"/>
              <w:spacing w:after="0" w:before="0" w:line="240" w:lineRule="auto"/>
              <w:ind w:firstLine="0" w:left="0" w:right="0"/>
              <w:jc w:val="left"/>
              <w:rPr>
                <w:sz w:val="20"/>
              </w:rPr>
            </w:pPr>
            <w:r>
              <w:rPr>
                <w:color w:val="000000"/>
                <w:spacing w:val="0"/>
                <w:sz w:val="20"/>
              </w:rPr>
              <w:t xml:space="preserve">к/счет № </w:t>
            </w:r>
          </w:p>
          <w:p w14:paraId="B7000000">
            <w:pPr>
              <w:pStyle w:val="Style_8"/>
              <w:widowControl w:val="0"/>
              <w:spacing w:after="0" w:before="0" w:line="240" w:lineRule="auto"/>
              <w:ind w:firstLine="0" w:left="0" w:right="0"/>
              <w:jc w:val="left"/>
              <w:rPr>
                <w:sz w:val="20"/>
              </w:rPr>
            </w:pPr>
            <w:r>
              <w:rPr>
                <w:color w:val="000000"/>
                <w:spacing w:val="0"/>
                <w:sz w:val="20"/>
              </w:rPr>
              <w:t>БИК</w:t>
            </w:r>
          </w:p>
          <w:p w14:paraId="B8000000">
            <w:pPr>
              <w:pStyle w:val="Style_8"/>
              <w:widowControl w:val="0"/>
              <w:spacing w:after="0" w:before="0" w:line="240" w:lineRule="auto"/>
              <w:ind w:firstLine="0" w:left="0" w:right="0"/>
              <w:jc w:val="left"/>
              <w:rPr>
                <w:sz w:val="20"/>
              </w:rPr>
            </w:pPr>
          </w:p>
          <w:p w14:paraId="B9000000">
            <w:pPr>
              <w:pStyle w:val="Style_8"/>
              <w:widowControl w:val="0"/>
              <w:spacing w:after="0" w:before="0" w:line="240" w:lineRule="auto"/>
              <w:ind w:firstLine="0" w:left="0" w:right="0"/>
              <w:jc w:val="left"/>
              <w:rPr>
                <w:b w:val="1"/>
                <w:i w:val="1"/>
                <w:sz w:val="20"/>
              </w:rPr>
            </w:pP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кем выдан: </w:t>
            </w:r>
          </w:p>
        </w:tc>
      </w:tr>
      <w:tr>
        <w:trPr>
          <w:trHeight w:hRule="atLeast" w:val="268"/>
        </w:trPr>
        <w:tc>
          <w:tcPr>
            <w:tcW w:type="dxa" w:w="499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tc>
        <w:tc>
          <w:tcPr>
            <w:tcW w:type="dxa" w:w="26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00000">
            <w:pPr>
              <w:pStyle w:val="Style_5"/>
              <w:widowControl w:val="0"/>
              <w:spacing w:after="0" w:before="0" w:line="240" w:lineRule="auto"/>
              <w:ind w:firstLine="0" w:left="0" w:right="0"/>
              <w:jc w:val="left"/>
              <w:rPr>
                <w:rFonts w:ascii="Times New Roman" w:hAnsi="Times New Roman"/>
                <w:color w:val="000000"/>
                <w:sz w:val="20"/>
              </w:rPr>
            </w:pPr>
            <w:r>
              <w:rPr>
                <w:rFonts w:ascii="Times New Roman" w:hAnsi="Times New Roman"/>
                <w:color w:val="000000"/>
                <w:spacing w:val="0"/>
                <w:sz w:val="20"/>
              </w:rPr>
              <w:t>код подразделения:</w:t>
            </w:r>
          </w:p>
        </w:tc>
        <w:tc>
          <w:tcPr>
            <w:tcW w:type="dxa" w:w="3071"/>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00000">
            <w:pPr>
              <w:pStyle w:val="Style_5"/>
              <w:widowControl w:val="0"/>
              <w:spacing w:after="0" w:before="0" w:line="240" w:lineRule="auto"/>
              <w:ind w:firstLine="0" w:left="60" w:right="0"/>
              <w:jc w:val="left"/>
              <w:rPr>
                <w:rFonts w:ascii="Times New Roman" w:hAnsi="Times New Roman"/>
                <w:sz w:val="20"/>
              </w:rPr>
            </w:pPr>
          </w:p>
        </w:tc>
      </w:tr>
      <w:tr>
        <w:trPr>
          <w:trHeight w:hRule="atLeast" w:val="268"/>
        </w:trPr>
        <w:tc>
          <w:tcPr>
            <w:tcW w:type="dxa" w:w="499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tc>
        <w:tc>
          <w:tcPr>
            <w:tcW w:type="dxa" w:w="26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СНИЛС:</w:t>
            </w:r>
          </w:p>
        </w:tc>
        <w:tc>
          <w:tcPr>
            <w:tcW w:type="dxa" w:w="3071"/>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00000">
            <w:pPr>
              <w:pStyle w:val="Style_5"/>
              <w:widowControl w:val="0"/>
              <w:spacing w:after="0" w:before="0" w:line="240" w:lineRule="auto"/>
              <w:ind w:firstLine="0" w:left="60" w:right="0"/>
              <w:jc w:val="left"/>
              <w:rPr>
                <w:rFonts w:ascii="Times New Roman" w:hAnsi="Times New Roman"/>
                <w:sz w:val="20"/>
              </w:rPr>
            </w:pPr>
            <w:r>
              <w:rPr>
                <w:rFonts w:ascii="Times New Roman" w:hAnsi="Times New Roman"/>
                <w:color w:val="000000"/>
                <w:spacing w:val="0"/>
                <w:sz w:val="20"/>
              </w:rPr>
              <w:t xml:space="preserve">ИНН: </w:t>
            </w:r>
          </w:p>
        </w:tc>
      </w:tr>
      <w:tr>
        <w:trPr>
          <w:trHeight w:hRule="atLeast" w:val="500"/>
        </w:trPr>
        <w:tc>
          <w:tcPr>
            <w:tcW w:type="dxa" w:w="499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Адрес регистрации:  </w:t>
            </w:r>
          </w:p>
        </w:tc>
      </w:tr>
      <w:tr>
        <w:trPr>
          <w:trHeight w:hRule="atLeast" w:val="358"/>
        </w:trPr>
        <w:tc>
          <w:tcPr>
            <w:tcW w:type="dxa" w:w="499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Адрес</w:t>
            </w:r>
            <w:r>
              <w:rPr>
                <w:rFonts w:ascii="Times New Roman" w:hAnsi="Times New Roman"/>
                <w:color w:val="000000"/>
                <w:spacing w:val="0"/>
                <w:sz w:val="20"/>
              </w:rPr>
              <w:t xml:space="preserve"> фактический (почтовый</w:t>
            </w:r>
            <w:r>
              <w:rPr>
                <w:rFonts w:ascii="Times New Roman" w:hAnsi="Times New Roman"/>
                <w:color w:val="000000"/>
                <w:spacing w:val="0"/>
                <w:sz w:val="20"/>
              </w:rPr>
              <w:t>)</w:t>
            </w:r>
            <w:r>
              <w:rPr>
                <w:rFonts w:ascii="Times New Roman" w:hAnsi="Times New Roman"/>
                <w:color w:val="000000"/>
                <w:spacing w:val="0"/>
                <w:sz w:val="20"/>
              </w:rPr>
              <w:t>:</w:t>
            </w:r>
            <w:r>
              <w:rPr>
                <w:rFonts w:ascii="Times New Roman" w:hAnsi="Times New Roman"/>
                <w:color w:val="000000"/>
                <w:spacing w:val="0"/>
                <w:sz w:val="20"/>
              </w:rPr>
              <w:t xml:space="preserve"> </w:t>
            </w:r>
            <w:r>
              <w:rPr>
                <w:rFonts w:ascii="Times New Roman" w:hAnsi="Times New Roman"/>
                <w:color w:val="000000"/>
                <w:spacing w:val="0"/>
                <w:sz w:val="20"/>
              </w:rPr>
              <w:t xml:space="preserve">  </w:t>
            </w:r>
          </w:p>
        </w:tc>
      </w:tr>
      <w:tr>
        <w:trPr>
          <w:trHeight w:hRule="atLeast" w:val="121"/>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C1000000">
            <w:pPr>
              <w:pStyle w:val="Style_8"/>
              <w:widowControl w:val="0"/>
              <w:spacing w:after="0" w:before="0" w:line="240" w:lineRule="auto"/>
              <w:ind w:firstLine="0" w:left="0" w:right="0"/>
              <w:jc w:val="left"/>
              <w:rPr>
                <w:b w:val="1"/>
                <w:i w:val="1"/>
                <w:sz w:val="20"/>
              </w:rPr>
            </w:pPr>
            <w:r>
              <w:rPr>
                <w:color w:val="000000"/>
                <w:spacing w:val="0"/>
                <w:sz w:val="20"/>
              </w:rPr>
              <w:t xml:space="preserve">                                                                                                                               </w:t>
            </w:r>
            <w:r>
              <w:rPr>
                <w:color w:val="000000"/>
                <w:spacing w:val="0"/>
                <w:sz w:val="20"/>
              </w:rPr>
              <w:t>тел.</w:t>
            </w:r>
            <w:r>
              <w:rPr>
                <w:color w:val="000000"/>
                <w:spacing w:val="0"/>
                <w:sz w:val="20"/>
              </w:rPr>
              <w:t>:</w:t>
            </w:r>
            <w:r>
              <w:rPr>
                <w:color w:val="000000"/>
                <w:spacing w:val="0"/>
                <w:sz w:val="20"/>
              </w:rPr>
              <w:t xml:space="preserve"> </w:t>
            </w:r>
            <w:r>
              <w:rPr>
                <w:color w:val="000000"/>
                <w:spacing w:val="0"/>
                <w:sz w:val="20"/>
              </w:rPr>
              <w:t xml:space="preserve">+ 7 </w:t>
            </w:r>
            <w:r>
              <w:rPr>
                <w:color w:val="000000"/>
                <w:spacing w:val="0"/>
                <w:sz w:val="20"/>
              </w:rPr>
              <w:t xml:space="preserve">(495) 568-08-41  или </w:t>
            </w:r>
            <w:r>
              <w:rPr>
                <w:color w:val="000000"/>
                <w:spacing w:val="0"/>
                <w:sz w:val="20"/>
              </w:rPr>
              <w:t>8-</w:t>
            </w:r>
            <w:r>
              <w:rPr>
                <w:color w:val="000000"/>
                <w:spacing w:val="0"/>
                <w:sz w:val="20"/>
              </w:rPr>
              <w:t>800</w:t>
            </w:r>
            <w:r>
              <w:rPr>
                <w:color w:val="000000"/>
                <w:spacing w:val="0"/>
                <w:sz w:val="20"/>
              </w:rPr>
              <w:t>-301-15-89</w:t>
            </w: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Контактный телефон:  </w:t>
            </w:r>
          </w:p>
        </w:tc>
      </w:tr>
      <w:tr>
        <w:trPr>
          <w:trHeight w:hRule="atLeast" w:val="121"/>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C3000000">
            <w:pPr>
              <w:pStyle w:val="Style_5"/>
              <w:widowControl w:val="0"/>
              <w:spacing w:after="0" w:before="0" w:line="240" w:lineRule="auto"/>
              <w:ind w:firstLine="0" w:left="0" w:right="0"/>
              <w:jc w:val="left"/>
              <w:rPr>
                <w:rFonts w:ascii="Times New Roman" w:hAnsi="Times New Roman"/>
                <w:b w:val="1"/>
                <w:i w:val="1"/>
                <w:sz w:val="20"/>
              </w:rPr>
            </w:pPr>
            <w:r>
              <w:rPr>
                <w:rFonts w:ascii="Times New Roman" w:hAnsi="Times New Roman"/>
                <w:color w:val="000000"/>
                <w:spacing w:val="0"/>
                <w:sz w:val="20"/>
              </w:rPr>
              <w:t>Адрес электронной почты:</w:t>
            </w:r>
            <w:r>
              <w:rPr>
                <w:rFonts w:ascii="Times New Roman" w:hAnsi="Times New Roman"/>
                <w:color w:val="000000"/>
                <w:spacing w:val="0"/>
                <w:sz w:val="20"/>
              </w:rPr>
              <w:t xml:space="preserve">  info@npf-atom.ru</w:t>
            </w:r>
          </w:p>
        </w:tc>
        <w:tc>
          <w:tcPr>
            <w:tcW w:type="dxa" w:w="574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00000">
            <w:pPr>
              <w:pStyle w:val="Style_5"/>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Адрес электронной почты: </w:t>
            </w:r>
          </w:p>
        </w:tc>
      </w:tr>
    </w:tbl>
    <w:p w14:paraId="C5000000">
      <w:pPr>
        <w:pStyle w:val="Style_3"/>
        <w:widowControl w:val="0"/>
        <w:tabs>
          <w:tab w:leader="none" w:pos="720" w:val="clear"/>
          <w:tab w:leader="none" w:pos="5021" w:val="left"/>
        </w:tabs>
        <w:spacing w:after="80" w:before="0" w:line="240" w:lineRule="auto"/>
        <w:ind w:firstLine="0" w:left="0" w:right="0"/>
        <w:rPr>
          <w:rFonts w:ascii="Times New Roman" w:hAnsi="Times New Roman"/>
          <w:sz w:val="22"/>
        </w:rPr>
      </w:pPr>
    </w:p>
    <w:p w14:paraId="C6000000">
      <w:pPr>
        <w:pStyle w:val="Style_3"/>
        <w:widowControl w:val="0"/>
        <w:tabs>
          <w:tab w:leader="none" w:pos="720" w:val="clear"/>
          <w:tab w:leader="none" w:pos="5021" w:val="left"/>
        </w:tabs>
        <w:spacing w:after="80" w:before="0" w:line="240" w:lineRule="auto"/>
        <w:ind w:firstLine="0" w:left="0" w:right="0"/>
        <w:rPr>
          <w:rFonts w:ascii="Times New Roman" w:hAnsi="Times New Roman"/>
          <w:sz w:val="22"/>
        </w:rPr>
      </w:pPr>
    </w:p>
    <w:p w14:paraId="C7000000">
      <w:pPr>
        <w:pStyle w:val="Style_3"/>
        <w:widowControl w:val="0"/>
        <w:tabs>
          <w:tab w:leader="none" w:pos="720" w:val="clear"/>
          <w:tab w:leader="none" w:pos="5021" w:val="left"/>
        </w:tabs>
        <w:spacing w:after="80" w:before="0" w:line="240" w:lineRule="auto"/>
        <w:ind w:firstLine="0" w:left="0" w:right="0"/>
        <w:rPr>
          <w:rFonts w:ascii="Times New Roman" w:hAnsi="Times New Roman"/>
          <w:i w:val="1"/>
          <w:sz w:val="22"/>
        </w:rPr>
      </w:pPr>
      <w:r>
        <w:rPr>
          <w:rFonts w:ascii="Times New Roman" w:hAnsi="Times New Roman"/>
          <w:i w:val="1"/>
          <w:sz w:val="22"/>
        </w:rPr>
        <w:t>С правилами Фонда ознакомлен: __________________/подпись Вкладчика/</w:t>
      </w:r>
    </w:p>
    <w:p w14:paraId="C8000000">
      <w:pPr>
        <w:pStyle w:val="Style_3"/>
        <w:widowControl w:val="0"/>
        <w:tabs>
          <w:tab w:leader="none" w:pos="720" w:val="clear"/>
          <w:tab w:leader="none" w:pos="5021" w:val="left"/>
        </w:tabs>
        <w:spacing w:after="80" w:before="0" w:line="240" w:lineRule="auto"/>
        <w:ind w:firstLine="0" w:left="0" w:right="0"/>
        <w:rPr>
          <w:rFonts w:ascii="Times New Roman" w:hAnsi="Times New Roman"/>
          <w:b w:val="1"/>
          <w:i w:val="1"/>
          <w:sz w:val="22"/>
        </w:rPr>
      </w:pPr>
    </w:p>
    <w:p w14:paraId="C9000000">
      <w:pPr>
        <w:pStyle w:val="Style_3"/>
        <w:widowControl w:val="0"/>
        <w:tabs>
          <w:tab w:leader="none" w:pos="720" w:val="clear"/>
          <w:tab w:leader="none" w:pos="5021" w:val="left"/>
        </w:tabs>
        <w:spacing w:after="80" w:before="0" w:line="240" w:lineRule="auto"/>
        <w:ind w:firstLine="0" w:left="0" w:right="0"/>
        <w:jc w:val="both"/>
        <w:rPr>
          <w:rFonts w:ascii="Times New Roman" w:hAnsi="Times New Roman"/>
          <w:b w:val="1"/>
          <w:i w:val="1"/>
          <w:sz w:val="22"/>
        </w:rPr>
      </w:pPr>
      <w:r>
        <w:rPr>
          <w:rFonts w:ascii="Times New Roman" w:hAnsi="Times New Roman"/>
          <w:i w:val="1"/>
          <w:sz w:val="22"/>
        </w:rPr>
        <w:t>Ключевой Информационный Документ Фондом предоставлен: ____________________/подпись Вкладчика/</w:t>
      </w:r>
    </w:p>
    <w:p w14:paraId="CA000000">
      <w:pPr>
        <w:pStyle w:val="Style_3"/>
        <w:widowControl w:val="0"/>
        <w:tabs>
          <w:tab w:leader="none" w:pos="720" w:val="clear"/>
          <w:tab w:leader="none" w:pos="5021" w:val="left"/>
        </w:tabs>
        <w:spacing w:after="80" w:before="0" w:line="240" w:lineRule="auto"/>
        <w:ind w:firstLine="0" w:left="0" w:right="0"/>
        <w:rPr>
          <w:rFonts w:ascii="Times New Roman" w:hAnsi="Times New Roman"/>
          <w:b w:val="1"/>
          <w:sz w:val="22"/>
        </w:rPr>
      </w:pPr>
    </w:p>
    <w:p w14:paraId="CB000000">
      <w:pPr>
        <w:pStyle w:val="Style_3"/>
        <w:widowControl w:val="0"/>
        <w:tabs>
          <w:tab w:leader="none" w:pos="720" w:val="clear"/>
          <w:tab w:leader="none" w:pos="5021" w:val="left"/>
        </w:tabs>
        <w:spacing w:after="80" w:before="0" w:line="240" w:lineRule="auto"/>
        <w:ind w:firstLine="0" w:left="0" w:right="0"/>
        <w:rPr>
          <w:rFonts w:ascii="Times New Roman" w:hAnsi="Times New Roman"/>
          <w:b w:val="1"/>
          <w:sz w:val="22"/>
        </w:rPr>
      </w:pPr>
    </w:p>
    <w:p w14:paraId="CC000000">
      <w:pPr>
        <w:pStyle w:val="Style_3"/>
        <w:widowControl w:val="0"/>
        <w:tabs>
          <w:tab w:leader="none" w:pos="720" w:val="clear"/>
          <w:tab w:leader="none" w:pos="5021" w:val="left"/>
        </w:tabs>
        <w:spacing w:after="80" w:before="0" w:line="240" w:lineRule="auto"/>
        <w:ind w:firstLine="0" w:left="0" w:right="0"/>
        <w:rPr>
          <w:rFonts w:ascii="Times New Roman" w:hAnsi="Times New Roman"/>
          <w:sz w:val="22"/>
        </w:rPr>
      </w:pPr>
      <w:r>
        <w:rPr>
          <w:rFonts w:ascii="Times New Roman" w:hAnsi="Times New Roman"/>
          <w:b w:val="1"/>
          <w:sz w:val="22"/>
        </w:rPr>
        <w:t>От Фонда:</w:t>
      </w:r>
      <w:r>
        <w:rPr>
          <w:rFonts w:ascii="Times New Roman" w:hAnsi="Times New Roman"/>
          <w:b w:val="1"/>
          <w:sz w:val="22"/>
        </w:rPr>
        <w:tab/>
      </w:r>
      <w:r>
        <w:rPr>
          <w:rFonts w:ascii="Times New Roman" w:hAnsi="Times New Roman"/>
          <w:b w:val="1"/>
          <w:sz w:val="22"/>
        </w:rPr>
        <w:t>Вкладчик (Участник):</w:t>
      </w:r>
    </w:p>
    <w:p w14:paraId="CD000000">
      <w:pPr>
        <w:pStyle w:val="Style_4"/>
        <w:widowControl w:val="0"/>
        <w:tabs>
          <w:tab w:leader="none" w:pos="720" w:val="clear"/>
          <w:tab w:leader="none" w:pos="3139" w:val="left"/>
          <w:tab w:leader="none" w:pos="4690" w:val="left"/>
          <w:tab w:leader="none" w:pos="7608" w:val="left"/>
        </w:tabs>
        <w:spacing w:after="0" w:before="0"/>
        <w:ind w:hanging="480" w:left="480" w:right="0"/>
        <w:rPr>
          <w:rFonts w:ascii="Times New Roman" w:hAnsi="Times New Roman"/>
          <w:sz w:val="22"/>
        </w:rPr>
      </w:pPr>
      <w:r>
        <w:rPr>
          <w:rFonts w:ascii="Times New Roman" w:hAnsi="Times New Roman"/>
          <w:i w:val="1"/>
          <w:sz w:val="22"/>
        </w:rPr>
        <w:t>__________________/_____________/</w:t>
      </w:r>
      <w:r>
        <w:rPr>
          <w:rFonts w:ascii="Times New Roman" w:hAnsi="Times New Roman"/>
          <w:i w:val="1"/>
          <w:sz w:val="22"/>
        </w:rPr>
        <w:tab/>
      </w:r>
      <w:r>
        <w:rPr>
          <w:rFonts w:ascii="Times New Roman" w:hAnsi="Times New Roman"/>
          <w:i w:val="1"/>
          <w:sz w:val="22"/>
        </w:rPr>
        <w:t>____________________/_________________/</w:t>
      </w:r>
    </w:p>
    <w:p w14:paraId="CE000000">
      <w:pPr>
        <w:pStyle w:val="Style_4"/>
        <w:widowControl w:val="0"/>
        <w:tabs>
          <w:tab w:leader="none" w:pos="720" w:val="clear"/>
          <w:tab w:leader="none" w:pos="3139" w:val="left"/>
          <w:tab w:leader="none" w:pos="4690" w:val="left"/>
          <w:tab w:leader="none" w:pos="7608" w:val="left"/>
        </w:tabs>
        <w:spacing w:after="340" w:before="0"/>
        <w:ind w:firstLine="0" w:left="-709" w:right="0"/>
        <w:rPr>
          <w:rFonts w:ascii="Times New Roman" w:hAnsi="Times New Roman"/>
          <w:sz w:val="20"/>
        </w:rPr>
      </w:pPr>
      <w:r>
        <w:rPr>
          <w:rFonts w:ascii="Times New Roman" w:hAnsi="Times New Roman"/>
          <w:i w:val="1"/>
          <w:sz w:val="22"/>
        </w:rPr>
        <w:t xml:space="preserve">                      </w:t>
      </w:r>
      <w:r>
        <w:rPr>
          <w:rFonts w:ascii="Times New Roman" w:hAnsi="Times New Roman"/>
          <w:i w:val="1"/>
          <w:sz w:val="20"/>
        </w:rPr>
        <w:t>(подпись)                ФИО</w:t>
      </w:r>
      <w:r>
        <w:rPr>
          <w:rFonts w:ascii="Times New Roman" w:hAnsi="Times New Roman"/>
          <w:i w:val="1"/>
          <w:sz w:val="20"/>
        </w:rPr>
        <w:tab/>
      </w:r>
      <w:r>
        <w:rPr>
          <w:rFonts w:ascii="Times New Roman" w:hAnsi="Times New Roman"/>
          <w:i w:val="1"/>
          <w:sz w:val="20"/>
        </w:rPr>
        <w:t xml:space="preserve">                                       (подпись)                       ФИО</w:t>
      </w:r>
    </w:p>
    <w:p w14:paraId="CF000000">
      <w:pPr>
        <w:pStyle w:val="Style_4"/>
        <w:widowControl w:val="0"/>
        <w:tabs>
          <w:tab w:leader="none" w:pos="720" w:val="clear"/>
          <w:tab w:leader="none" w:pos="3139" w:val="left"/>
          <w:tab w:leader="none" w:pos="4690" w:val="left"/>
          <w:tab w:leader="none" w:pos="7608" w:val="left"/>
        </w:tabs>
        <w:spacing w:after="340" w:before="0"/>
        <w:ind/>
        <w:rPr>
          <w:rFonts w:ascii="Times New Roman" w:hAnsi="Times New Roman"/>
          <w:sz w:val="22"/>
        </w:rPr>
      </w:pPr>
      <w:r>
        <w:rPr>
          <w:rFonts w:ascii="Times New Roman" w:hAnsi="Times New Roman"/>
          <w:sz w:val="22"/>
        </w:rPr>
        <w:t>м.п.</w:t>
      </w:r>
      <w:r>
        <w:rPr>
          <w:rFonts w:ascii="Times New Roman" w:hAnsi="Times New Roman"/>
          <w:sz w:val="22"/>
        </w:rPr>
        <w:tab/>
      </w:r>
    </w:p>
    <w:p w14:paraId="D0000000">
      <w:pPr>
        <w:pStyle w:val="Style_3"/>
        <w:widowControl w:val="0"/>
        <w:tabs>
          <w:tab w:leader="none" w:pos="720" w:val="clear"/>
          <w:tab w:leader="none" w:pos="5021" w:val="left"/>
        </w:tabs>
        <w:spacing w:after="80" w:before="0" w:line="240" w:lineRule="auto"/>
        <w:ind w:firstLine="0" w:left="0" w:right="0"/>
        <w:rPr>
          <w:rFonts w:ascii="Times New Roman" w:hAnsi="Times New Roman"/>
          <w:b w:val="1"/>
          <w:sz w:val="22"/>
        </w:rPr>
      </w:pPr>
    </w:p>
    <w:p w14:paraId="D1000000">
      <w:pPr>
        <w:pStyle w:val="Style_4"/>
        <w:widowControl w:val="0"/>
        <w:tabs>
          <w:tab w:leader="none" w:pos="720" w:val="clear"/>
          <w:tab w:leader="none" w:pos="3139" w:val="left"/>
          <w:tab w:leader="none" w:pos="4690" w:val="left"/>
          <w:tab w:leader="none" w:pos="7608" w:val="left"/>
        </w:tabs>
        <w:spacing w:after="340" w:before="0"/>
        <w:ind/>
        <w:rPr>
          <w:rFonts w:ascii="Times New Roman" w:hAnsi="Times New Roman"/>
          <w:sz w:val="22"/>
        </w:rPr>
      </w:pPr>
      <w:r>
        <w:rPr>
          <w:rFonts w:ascii="Times New Roman" w:hAnsi="Times New Roman"/>
          <w:i w:val="1"/>
          <w:sz w:val="22"/>
        </w:rPr>
        <w:tab/>
      </w:r>
      <w:r>
        <w:rPr>
          <w:rFonts w:ascii="Times New Roman" w:hAnsi="Times New Roman"/>
          <w:sz w:val="22"/>
        </w:rPr>
        <w:tab/>
      </w:r>
    </w:p>
    <w:p w14:paraId="D2000000">
      <w:pPr>
        <w:pStyle w:val="Style_4"/>
        <w:widowControl w:val="0"/>
        <w:tabs>
          <w:tab w:leader="none" w:pos="720" w:val="clear"/>
          <w:tab w:leader="none" w:pos="3139" w:val="left"/>
          <w:tab w:leader="none" w:pos="4690" w:val="left"/>
          <w:tab w:leader="none" w:pos="7608" w:val="left"/>
        </w:tabs>
        <w:spacing w:after="340" w:before="0"/>
        <w:ind/>
        <w:rPr>
          <w:rFonts w:ascii="Times New Roman" w:hAnsi="Times New Roman"/>
          <w:sz w:val="22"/>
        </w:rPr>
      </w:pPr>
    </w:p>
    <w:sectPr>
      <w:footerReference r:id="rId2" w:type="default"/>
      <w:footerReference r:id="rId1" w:type="first"/>
      <w:type w:val="nextPage"/>
      <w:pgSz w:h="16838" w:orient="portrait" w:w="11906"/>
      <w:pgMar w:bottom="426" w:footer="306" w:gutter="0" w:header="0" w:left="851" w:right="560" w:top="426"/>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0"/>
      <w:in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tabs>
          <w:tab w:leader="none" w:pos="0" w:val="left"/>
        </w:tabs>
        <w:ind w:firstLine="0" w:left="0"/>
      </w:pPr>
      <w:rPr>
        <w:rFonts w:ascii="Times New Roman" w:hAnsi="Times New Roman"/>
        <w:b w:val="1"/>
        <w:i w:val="0"/>
        <w:caps w:val="0"/>
        <w:smallCaps w:val="0"/>
        <w:strike w:val="0"/>
        <w:color w:val="000000"/>
        <w:spacing w:val="0"/>
        <w:sz w:val="20"/>
        <w:u w:val="none"/>
      </w:rPr>
    </w:lvl>
    <w:lvl w:ilvl="1">
      <w:start w:val="1"/>
      <w:numFmt w:val="decimal"/>
      <w:lvlText w:val="%1.%2."/>
      <w:lvlJc w:val="left"/>
      <w:pPr>
        <w:widowControl w:val="0"/>
        <w:tabs>
          <w:tab w:leader="none" w:pos="0" w:val="left"/>
        </w:tabs>
        <w:ind w:firstLine="0" w:left="0"/>
      </w:pPr>
      <w:rPr>
        <w:rFonts w:ascii="Times New Roman" w:hAnsi="Times New Roman"/>
        <w:b w:val="0"/>
        <w:i w:val="0"/>
        <w:caps w:val="0"/>
        <w:smallCaps w:val="0"/>
        <w:strike w:val="0"/>
        <w:color w:val="000000"/>
        <w:spacing w:val="0"/>
        <w:sz w:val="22"/>
        <w:u w:val="none"/>
      </w:rPr>
    </w:lvl>
    <w:lvl w:ilvl="2">
      <w:start w:val="0"/>
      <w:numFmt w:val="decimal"/>
      <w:lvlText w:val=""/>
      <w:lvlJc w:val="left"/>
      <w:pPr>
        <w:widowControl w:val="0"/>
        <w:tabs>
          <w:tab w:leader="none" w:pos="0" w:val="left"/>
        </w:tabs>
        <w:ind w:firstLine="0" w:left="0"/>
      </w:pPr>
    </w:lvl>
    <w:lvl w:ilvl="3">
      <w:start w:val="0"/>
      <w:numFmt w:val="decimal"/>
      <w:lvlText w:val=""/>
      <w:lvlJc w:val="left"/>
      <w:pPr>
        <w:widowControl w:val="0"/>
        <w:tabs>
          <w:tab w:leader="none" w:pos="0" w:val="left"/>
        </w:tabs>
        <w:ind w:firstLine="0" w:left="0"/>
      </w:pPr>
    </w:lvl>
    <w:lvl w:ilvl="4">
      <w:start w:val="0"/>
      <w:numFmt w:val="decimal"/>
      <w:lvlText w:val=""/>
      <w:lvlJc w:val="left"/>
      <w:pPr>
        <w:widowControl w:val="0"/>
        <w:tabs>
          <w:tab w:leader="none" w:pos="0" w:val="left"/>
        </w:tabs>
        <w:ind w:firstLine="0" w:left="0"/>
      </w:pPr>
    </w:lvl>
    <w:lvl w:ilvl="5">
      <w:start w:val="0"/>
      <w:numFmt w:val="decimal"/>
      <w:lvlText w:val=""/>
      <w:lvlJc w:val="left"/>
      <w:pPr>
        <w:widowControl w:val="0"/>
        <w:tabs>
          <w:tab w:leader="none" w:pos="0" w:val="left"/>
        </w:tabs>
        <w:ind w:firstLine="0" w:left="0"/>
      </w:pPr>
    </w:lvl>
    <w:lvl w:ilvl="6">
      <w:start w:val="0"/>
      <w:numFmt w:val="decimal"/>
      <w:lvlText w:val=""/>
      <w:lvlJc w:val="left"/>
      <w:pPr>
        <w:widowControl w:val="0"/>
        <w:tabs>
          <w:tab w:leader="none" w:pos="0" w:val="left"/>
        </w:tabs>
        <w:ind w:firstLine="0" w:left="0"/>
      </w:pPr>
    </w:lvl>
    <w:lvl w:ilvl="7">
      <w:start w:val="0"/>
      <w:numFmt w:val="decimal"/>
      <w:lvlText w:val=""/>
      <w:lvlJc w:val="left"/>
      <w:pPr>
        <w:widowControl w:val="0"/>
        <w:tabs>
          <w:tab w:leader="none" w:pos="0" w:val="left"/>
        </w:tabs>
        <w:ind w:firstLine="0" w:left="0"/>
      </w:pPr>
    </w:lvl>
    <w:lvl w:ilvl="8">
      <w:start w:val="0"/>
      <w:numFmt w:val="decimal"/>
      <w:lvlText w:val=""/>
      <w:lvlJc w:val="left"/>
      <w:pPr>
        <w:widowControl w:val="0"/>
        <w:tabs>
          <w:tab w:leader="none" w:pos="0" w:val="left"/>
        </w:tabs>
        <w:ind w:firstLine="0" w:left="0"/>
      </w:pPr>
    </w:lvl>
  </w:abstractNum>
  <w:abstractNum w:abstractNumId="1">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2">
    <w:lvl w:ilvl="0">
      <w:start w:val="1"/>
      <w:numFmt w:val="decimal"/>
      <w:lvlText w:val="%1)"/>
      <w:lvlJc w:val="left"/>
      <w:pPr>
        <w:widowControl w:val="0"/>
        <w:tabs>
          <w:tab w:leader="none" w:pos="0" w:val="left"/>
        </w:tabs>
        <w:ind w:hanging="360" w:left="720"/>
      </w:pPr>
    </w:lvl>
    <w:lvl w:ilvl="1">
      <w:start w:val="1"/>
      <w:numFmt w:val="russianLower"/>
      <w:lvlText w:val="%2)"/>
      <w:lvlJc w:val="left"/>
      <w:pPr>
        <w:widowControl w:val="0"/>
        <w:tabs>
          <w:tab w:leader="none" w:pos="0" w:val="left"/>
        </w:tabs>
        <w:ind w:hanging="360" w:left="1440"/>
      </w:pPr>
    </w:lvl>
    <w:lvl w:ilvl="2">
      <w:start w:val="1"/>
      <w:numFmt w:val="lowerRoman"/>
      <w:lvlText w:val="%3)"/>
      <w:lvlJc w:val="right"/>
      <w:pPr>
        <w:widowControl w:val="0"/>
        <w:tabs>
          <w:tab w:leader="none" w:pos="0" w:val="left"/>
        </w:tabs>
        <w:ind w:hanging="360" w:left="2160"/>
      </w:pPr>
    </w:lvl>
    <w:lvl w:ilvl="3">
      <w:start w:val="1"/>
      <w:numFmt w:val="decimal"/>
      <w:lvlText w:val="%4)"/>
      <w:lvlJc w:val="left"/>
      <w:pPr>
        <w:widowControl w:val="0"/>
        <w:tabs>
          <w:tab w:leader="none" w:pos="0" w:val="left"/>
        </w:tabs>
        <w:ind w:hanging="360" w:left="2880"/>
      </w:pPr>
    </w:lvl>
    <w:lvl w:ilvl="4">
      <w:start w:val="1"/>
      <w:numFmt w:val="russianLower"/>
      <w:lvlText w:val="%5)"/>
      <w:lvlJc w:val="left"/>
      <w:pPr>
        <w:widowControl w:val="0"/>
        <w:tabs>
          <w:tab w:leader="none" w:pos="0" w:val="left"/>
        </w:tabs>
        <w:ind w:hanging="360" w:left="3600"/>
      </w:pPr>
    </w:lvl>
    <w:lvl w:ilvl="5">
      <w:start w:val="1"/>
      <w:numFmt w:val="lowerRoman"/>
      <w:lvlText w:val="%6)"/>
      <w:lvlJc w:val="right"/>
      <w:pPr>
        <w:widowControl w:val="0"/>
        <w:tabs>
          <w:tab w:leader="none" w:pos="0" w:val="left"/>
        </w:tabs>
        <w:ind w:hanging="360" w:left="4320"/>
      </w:pPr>
    </w:lvl>
    <w:lvl w:ilvl="6">
      <w:start w:val="1"/>
      <w:numFmt w:val="decimal"/>
      <w:lvlText w:val="%7."/>
      <w:lvlJc w:val="left"/>
      <w:pPr>
        <w:widowControl w:val="0"/>
        <w:tabs>
          <w:tab w:leader="none" w:pos="0" w:val="left"/>
        </w:tabs>
        <w:ind w:hanging="360" w:left="5040"/>
      </w:pPr>
    </w:lvl>
    <w:lvl w:ilvl="7">
      <w:start w:val="1"/>
      <w:numFmt w:val="russianLower"/>
      <w:lvlText w:val="%8."/>
      <w:lvlJc w:val="left"/>
      <w:pPr>
        <w:widowControl w:val="0"/>
        <w:tabs>
          <w:tab w:leader="none" w:pos="0" w:val="left"/>
        </w:tabs>
        <w:ind w:hanging="360" w:left="5760"/>
      </w:pPr>
    </w:lvl>
    <w:lvl w:ilvl="8">
      <w:start w:val="1"/>
      <w:numFmt w:val="lowerRoman"/>
      <w:lvlText w:val="%9."/>
      <w:lvlJc w:val="right"/>
      <w:pPr>
        <w:widowControl w:val="0"/>
        <w:tabs>
          <w:tab w:leader="none" w:pos="0" w:val="left"/>
        </w:tabs>
        <w:ind w:hanging="360" w:left="6480"/>
      </w:pPr>
    </w:lvl>
  </w:abstractNum>
  <w:abstractNum w:abstractNumId="3">
    <w:lvl w:ilvl="0">
      <w:start w:val="1"/>
      <w:numFmt w:val="decimal"/>
      <w:lvlText w:val="%1)"/>
      <w:lvlJc w:val="left"/>
      <w:pPr>
        <w:widowControl w:val="0"/>
        <w:tabs>
          <w:tab w:leader="none" w:pos="0" w:val="left"/>
        </w:tabs>
        <w:ind w:hanging="360" w:left="720"/>
      </w:pPr>
    </w:lvl>
    <w:lvl w:ilvl="1">
      <w:start w:val="1"/>
      <w:numFmt w:val="russianLower"/>
      <w:lvlText w:val="%2)"/>
      <w:lvlJc w:val="left"/>
      <w:pPr>
        <w:widowControl w:val="0"/>
        <w:tabs>
          <w:tab w:leader="none" w:pos="0" w:val="left"/>
        </w:tabs>
        <w:ind w:hanging="360" w:left="1440"/>
      </w:pPr>
    </w:lvl>
    <w:lvl w:ilvl="2">
      <w:start w:val="1"/>
      <w:numFmt w:val="lowerRoman"/>
      <w:lvlText w:val="%3)"/>
      <w:lvlJc w:val="right"/>
      <w:pPr>
        <w:widowControl w:val="0"/>
        <w:tabs>
          <w:tab w:leader="none" w:pos="0" w:val="left"/>
        </w:tabs>
        <w:ind w:hanging="360" w:left="2160"/>
      </w:pPr>
    </w:lvl>
    <w:lvl w:ilvl="3">
      <w:start w:val="1"/>
      <w:numFmt w:val="decimal"/>
      <w:lvlText w:val="%4)"/>
      <w:lvlJc w:val="left"/>
      <w:pPr>
        <w:widowControl w:val="0"/>
        <w:tabs>
          <w:tab w:leader="none" w:pos="0" w:val="left"/>
        </w:tabs>
        <w:ind w:hanging="360" w:left="2880"/>
      </w:pPr>
    </w:lvl>
    <w:lvl w:ilvl="4">
      <w:start w:val="1"/>
      <w:numFmt w:val="russianLower"/>
      <w:lvlText w:val="%5)"/>
      <w:lvlJc w:val="left"/>
      <w:pPr>
        <w:widowControl w:val="0"/>
        <w:tabs>
          <w:tab w:leader="none" w:pos="0" w:val="left"/>
        </w:tabs>
        <w:ind w:hanging="360" w:left="3600"/>
      </w:pPr>
    </w:lvl>
    <w:lvl w:ilvl="5">
      <w:start w:val="1"/>
      <w:numFmt w:val="lowerRoman"/>
      <w:lvlText w:val="%6)"/>
      <w:lvlJc w:val="right"/>
      <w:pPr>
        <w:widowControl w:val="0"/>
        <w:tabs>
          <w:tab w:leader="none" w:pos="0" w:val="left"/>
        </w:tabs>
        <w:ind w:hanging="360" w:left="4320"/>
      </w:pPr>
    </w:lvl>
    <w:lvl w:ilvl="6">
      <w:start w:val="1"/>
      <w:numFmt w:val="decimal"/>
      <w:lvlText w:val="%7."/>
      <w:lvlJc w:val="left"/>
      <w:pPr>
        <w:widowControl w:val="0"/>
        <w:tabs>
          <w:tab w:leader="none" w:pos="0" w:val="left"/>
        </w:tabs>
        <w:ind w:hanging="360" w:left="5040"/>
      </w:pPr>
    </w:lvl>
    <w:lvl w:ilvl="7">
      <w:start w:val="1"/>
      <w:numFmt w:val="russianLower"/>
      <w:lvlText w:val="%8."/>
      <w:lvlJc w:val="left"/>
      <w:pPr>
        <w:widowControl w:val="0"/>
        <w:tabs>
          <w:tab w:leader="none" w:pos="0" w:val="left"/>
        </w:tabs>
        <w:ind w:hanging="360" w:left="5760"/>
      </w:pPr>
    </w:lvl>
    <w:lvl w:ilvl="8">
      <w:start w:val="1"/>
      <w:numFmt w:val="lowerRoman"/>
      <w:lvlText w:val="%9."/>
      <w:lvlJc w:val="right"/>
      <w:pPr>
        <w:widowControl w:val="0"/>
        <w:tabs>
          <w:tab w:leader="none" w:pos="0" w:val="left"/>
        </w:tabs>
        <w:ind w:hanging="360" w:left="6480"/>
      </w:pPr>
    </w:lvl>
  </w:abstractNum>
  <w:abstractNum w:abstractNumId="4">
    <w:lvl w:ilvl="0">
      <w:start w:val="1"/>
      <w:numFmt w:val="russianLower"/>
      <w:lvlText w:val="%1)"/>
      <w:lvlJc w:val="left"/>
      <w:pPr>
        <w:widowControl w:val="0"/>
        <w:tabs>
          <w:tab w:leader="none" w:pos="0" w:val="left"/>
        </w:tabs>
        <w:ind w:hanging="360" w:left="720"/>
      </w:pPr>
    </w:lvl>
    <w:lvl w:ilvl="1">
      <w:start w:val="1"/>
      <w:numFmt w:val="decimal"/>
      <w:lvlText w:val="%2)"/>
      <w:lvlJc w:val="left"/>
      <w:pPr>
        <w:widowControl w:val="0"/>
        <w:tabs>
          <w:tab w:leader="none" w:pos="0" w:val="left"/>
        </w:tabs>
        <w:ind w:hanging="360" w:left="1440"/>
      </w:pPr>
    </w:lvl>
    <w:lvl w:ilvl="2">
      <w:start w:val="1"/>
      <w:numFmt w:val="lowerRoman"/>
      <w:lvlText w:val="%3)"/>
      <w:lvlJc w:val="right"/>
      <w:pPr>
        <w:widowControl w:val="0"/>
        <w:tabs>
          <w:tab w:leader="none" w:pos="0" w:val="left"/>
        </w:tabs>
        <w:ind w:hanging="360" w:left="2160"/>
      </w:pPr>
    </w:lvl>
    <w:lvl w:ilvl="3">
      <w:start w:val="1"/>
      <w:numFmt w:val="russianLower"/>
      <w:lvlText w:val="%4)"/>
      <w:lvlJc w:val="left"/>
      <w:pPr>
        <w:widowControl w:val="0"/>
        <w:tabs>
          <w:tab w:leader="none" w:pos="0" w:val="left"/>
        </w:tabs>
        <w:ind w:hanging="360" w:left="2880"/>
      </w:pPr>
    </w:lvl>
    <w:lvl w:ilvl="4">
      <w:start w:val="1"/>
      <w:numFmt w:val="decimal"/>
      <w:lvlText w:val="%5)"/>
      <w:lvlJc w:val="left"/>
      <w:pPr>
        <w:widowControl w:val="0"/>
        <w:tabs>
          <w:tab w:leader="none" w:pos="0" w:val="left"/>
        </w:tabs>
        <w:ind w:hanging="360" w:left="3600"/>
      </w:pPr>
    </w:lvl>
    <w:lvl w:ilvl="5">
      <w:start w:val="1"/>
      <w:numFmt w:val="lowerRoman"/>
      <w:lvlText w:val="%6)"/>
      <w:lvlJc w:val="right"/>
      <w:pPr>
        <w:widowControl w:val="0"/>
        <w:tabs>
          <w:tab w:leader="none" w:pos="0" w:val="left"/>
        </w:tabs>
        <w:ind w:hanging="360" w:left="4320"/>
      </w:pPr>
    </w:lvl>
    <w:lvl w:ilvl="6">
      <w:start w:val="1"/>
      <w:numFmt w:val="russianLower"/>
      <w:lvlText w:val="%7)"/>
      <w:lvlJc w:val="left"/>
      <w:pPr>
        <w:widowControl w:val="0"/>
        <w:tabs>
          <w:tab w:leader="none" w:pos="0" w:val="left"/>
        </w:tabs>
        <w:ind w:hanging="360" w:left="5040"/>
      </w:pPr>
    </w:lvl>
    <w:lvl w:ilvl="7">
      <w:start w:val="1"/>
      <w:numFmt w:val="decimal"/>
      <w:lvlText w:val="%8)"/>
      <w:lvlJc w:val="left"/>
      <w:pPr>
        <w:widowControl w:val="0"/>
        <w:tabs>
          <w:tab w:leader="none" w:pos="0" w:val="left"/>
        </w:tabs>
        <w:ind w:hanging="360" w:left="5760"/>
      </w:pPr>
    </w:lvl>
    <w:lvl w:ilvl="8">
      <w:start w:val="1"/>
      <w:numFmt w:val="lowerRoman"/>
      <w:lvlText w:val="%9)"/>
      <w:lvlJc w:val="right"/>
      <w:pPr>
        <w:widowControl w:val="0"/>
        <w:tabs>
          <w:tab w:leader="none" w:pos="0" w:val="left"/>
        </w:tabs>
        <w:ind w:hanging="360" w:left="6480"/>
      </w:pPr>
    </w:lvl>
  </w:abstractNum>
  <w:abstractNum w:abstractNumId="5">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6">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7">
    <w:lvl w:ilvl="0">
      <w:start w:val="1"/>
      <w:numFmt w:val="russianLower"/>
      <w:lvlText w:val="%1)"/>
      <w:lvlJc w:val="left"/>
      <w:pPr>
        <w:widowControl w:val="0"/>
        <w:tabs>
          <w:tab w:leader="none" w:pos="0" w:val="left"/>
        </w:tabs>
        <w:ind w:hanging="360" w:left="720"/>
      </w:pPr>
    </w:lvl>
    <w:lvl w:ilvl="1">
      <w:start w:val="1"/>
      <w:numFmt w:val="decimal"/>
      <w:lvlText w:val="%2)"/>
      <w:lvlJc w:val="left"/>
      <w:pPr>
        <w:widowControl w:val="0"/>
        <w:tabs>
          <w:tab w:leader="none" w:pos="0" w:val="left"/>
        </w:tabs>
        <w:ind w:hanging="360" w:left="1440"/>
      </w:pPr>
    </w:lvl>
    <w:lvl w:ilvl="2">
      <w:start w:val="1"/>
      <w:numFmt w:val="lowerRoman"/>
      <w:lvlText w:val="%3)"/>
      <w:lvlJc w:val="right"/>
      <w:pPr>
        <w:widowControl w:val="0"/>
        <w:tabs>
          <w:tab w:leader="none" w:pos="0" w:val="left"/>
        </w:tabs>
        <w:ind w:hanging="360" w:left="2160"/>
      </w:pPr>
    </w:lvl>
    <w:lvl w:ilvl="3">
      <w:start w:val="1"/>
      <w:numFmt w:val="russianLower"/>
      <w:lvlText w:val="%4)"/>
      <w:lvlJc w:val="left"/>
      <w:pPr>
        <w:widowControl w:val="0"/>
        <w:tabs>
          <w:tab w:leader="none" w:pos="0" w:val="left"/>
        </w:tabs>
        <w:ind w:hanging="360" w:left="2880"/>
      </w:pPr>
    </w:lvl>
    <w:lvl w:ilvl="4">
      <w:start w:val="1"/>
      <w:numFmt w:val="decimal"/>
      <w:lvlText w:val="%5)"/>
      <w:lvlJc w:val="left"/>
      <w:pPr>
        <w:widowControl w:val="0"/>
        <w:tabs>
          <w:tab w:leader="none" w:pos="0" w:val="left"/>
        </w:tabs>
        <w:ind w:hanging="360" w:left="3600"/>
      </w:pPr>
    </w:lvl>
    <w:lvl w:ilvl="5">
      <w:start w:val="1"/>
      <w:numFmt w:val="lowerRoman"/>
      <w:lvlText w:val="%6)"/>
      <w:lvlJc w:val="right"/>
      <w:pPr>
        <w:widowControl w:val="0"/>
        <w:tabs>
          <w:tab w:leader="none" w:pos="0" w:val="left"/>
        </w:tabs>
        <w:ind w:hanging="360" w:left="4320"/>
      </w:pPr>
    </w:lvl>
    <w:lvl w:ilvl="6">
      <w:start w:val="1"/>
      <w:numFmt w:val="russianLower"/>
      <w:lvlText w:val="%7)"/>
      <w:lvlJc w:val="left"/>
      <w:pPr>
        <w:widowControl w:val="0"/>
        <w:tabs>
          <w:tab w:leader="none" w:pos="0" w:val="left"/>
        </w:tabs>
        <w:ind w:hanging="360" w:left="5040"/>
      </w:pPr>
    </w:lvl>
    <w:lvl w:ilvl="7">
      <w:start w:val="1"/>
      <w:numFmt w:val="decimal"/>
      <w:lvlText w:val="%8)"/>
      <w:lvlJc w:val="left"/>
      <w:pPr>
        <w:widowControl w:val="0"/>
        <w:tabs>
          <w:tab w:leader="none" w:pos="0" w:val="left"/>
        </w:tabs>
        <w:ind w:hanging="360" w:left="5760"/>
      </w:pPr>
    </w:lvl>
    <w:lvl w:ilvl="8">
      <w:start w:val="1"/>
      <w:numFmt w:val="lowerRoman"/>
      <w:lvlText w:val="%9)"/>
      <w:lvlJc w:val="right"/>
      <w:pPr>
        <w:widowControl w:val="0"/>
        <w:tabs>
          <w:tab w:leader="none" w:pos="0" w:val="left"/>
        </w:tabs>
        <w:ind w:hanging="360" w:left="6480"/>
      </w:pPr>
    </w:lvl>
  </w:abstractNum>
  <w:abstractNum w:abstractNumId="8">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9">
    <w:lvl w:ilvl="0">
      <w:start w:val="1"/>
      <w:numFmt w:val="bullet"/>
      <w:lvlText w:val=""/>
      <w:lvlJc w:val="left"/>
      <w:pPr>
        <w:widowControl w:val="0"/>
        <w:tabs>
          <w:tab w:leader="none" w:pos="0" w:val="left"/>
        </w:tabs>
        <w:ind w:hanging="360" w:left="1300"/>
      </w:pPr>
      <w:rPr>
        <w:rFonts w:ascii="Symbol" w:hAnsi="Symbol"/>
      </w:rPr>
    </w:lvl>
    <w:lvl w:ilvl="1">
      <w:start w:val="1"/>
      <w:numFmt w:val="bullet"/>
      <w:lvlText w:val="o"/>
      <w:lvlJc w:val="left"/>
      <w:pPr>
        <w:widowControl w:val="0"/>
        <w:tabs>
          <w:tab w:leader="none" w:pos="0" w:val="left"/>
        </w:tabs>
        <w:ind w:hanging="360" w:left="2020"/>
      </w:pPr>
      <w:rPr>
        <w:rFonts w:ascii="Courier New" w:hAnsi="Courier New"/>
      </w:rPr>
    </w:lvl>
    <w:lvl w:ilvl="2">
      <w:start w:val="1"/>
      <w:numFmt w:val="bullet"/>
      <w:lvlText w:val=""/>
      <w:lvlJc w:val="left"/>
      <w:pPr>
        <w:widowControl w:val="0"/>
        <w:tabs>
          <w:tab w:leader="none" w:pos="0" w:val="left"/>
        </w:tabs>
        <w:ind w:hanging="360" w:left="2740"/>
      </w:pPr>
      <w:rPr>
        <w:rFonts w:ascii="Wingdings" w:hAnsi="Wingdings"/>
      </w:rPr>
    </w:lvl>
    <w:lvl w:ilvl="3">
      <w:start w:val="1"/>
      <w:numFmt w:val="bullet"/>
      <w:lvlText w:val=""/>
      <w:lvlJc w:val="left"/>
      <w:pPr>
        <w:widowControl w:val="0"/>
        <w:tabs>
          <w:tab w:leader="none" w:pos="0" w:val="left"/>
        </w:tabs>
        <w:ind w:hanging="360" w:left="3460"/>
      </w:pPr>
      <w:rPr>
        <w:rFonts w:ascii="Symbol" w:hAnsi="Symbol"/>
      </w:rPr>
    </w:lvl>
    <w:lvl w:ilvl="4">
      <w:start w:val="1"/>
      <w:numFmt w:val="bullet"/>
      <w:lvlText w:val="o"/>
      <w:lvlJc w:val="left"/>
      <w:pPr>
        <w:widowControl w:val="0"/>
        <w:tabs>
          <w:tab w:leader="none" w:pos="0" w:val="left"/>
        </w:tabs>
        <w:ind w:hanging="360" w:left="4180"/>
      </w:pPr>
      <w:rPr>
        <w:rFonts w:ascii="Courier New" w:hAnsi="Courier New"/>
      </w:rPr>
    </w:lvl>
    <w:lvl w:ilvl="5">
      <w:start w:val="1"/>
      <w:numFmt w:val="bullet"/>
      <w:lvlText w:val=""/>
      <w:lvlJc w:val="left"/>
      <w:pPr>
        <w:widowControl w:val="0"/>
        <w:tabs>
          <w:tab w:leader="none" w:pos="0" w:val="left"/>
        </w:tabs>
        <w:ind w:hanging="360" w:left="4900"/>
      </w:pPr>
      <w:rPr>
        <w:rFonts w:ascii="Wingdings" w:hAnsi="Wingdings"/>
      </w:rPr>
    </w:lvl>
    <w:lvl w:ilvl="6">
      <w:start w:val="1"/>
      <w:numFmt w:val="bullet"/>
      <w:lvlText w:val=""/>
      <w:lvlJc w:val="left"/>
      <w:pPr>
        <w:widowControl w:val="0"/>
        <w:tabs>
          <w:tab w:leader="none" w:pos="0" w:val="left"/>
        </w:tabs>
        <w:ind w:hanging="360" w:left="5620"/>
      </w:pPr>
      <w:rPr>
        <w:rFonts w:ascii="Symbol" w:hAnsi="Symbol"/>
      </w:rPr>
    </w:lvl>
    <w:lvl w:ilvl="7">
      <w:start w:val="1"/>
      <w:numFmt w:val="bullet"/>
      <w:lvlText w:val="o"/>
      <w:lvlJc w:val="left"/>
      <w:pPr>
        <w:widowControl w:val="0"/>
        <w:tabs>
          <w:tab w:leader="none" w:pos="0" w:val="left"/>
        </w:tabs>
        <w:ind w:hanging="360" w:left="6340"/>
      </w:pPr>
      <w:rPr>
        <w:rFonts w:ascii="Courier New" w:hAnsi="Courier New"/>
      </w:rPr>
    </w:lvl>
    <w:lvl w:ilvl="8">
      <w:start w:val="1"/>
      <w:numFmt w:val="bullet"/>
      <w:lvlText w:val=""/>
      <w:lvlJc w:val="left"/>
      <w:pPr>
        <w:widowControl w:val="0"/>
        <w:tabs>
          <w:tab w:leader="none" w:pos="0" w:val="left"/>
        </w:tabs>
        <w:ind w:hanging="360" w:left="7060"/>
      </w:pPr>
      <w:rPr>
        <w:rFonts w:ascii="Wingdings" w:hAnsi="Wingdings"/>
      </w:rPr>
    </w:lvl>
  </w:abstractNum>
  <w:abstractNum w:abstractNumId="10">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11">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12">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13">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abstractNum w:abstractNumId="14">
    <w:lvl w:ilvl="0">
      <w:numFmt w:val="bullet"/>
      <w:lvlText w:val="-"/>
      <w:lvlJc w:val="left"/>
      <w:pPr>
        <w:widowControl w:val="0"/>
        <w:tabs>
          <w:tab w:leader="none" w:pos="0" w:val="left"/>
        </w:tabs>
        <w:ind w:hanging="360" w:left="720"/>
      </w:pPr>
      <w:rPr>
        <w:rFonts w:ascii="Calibri" w:hAnsi="Calibri"/>
      </w:rPr>
    </w:lvl>
    <w:lvl w:ilvl="1">
      <w:start w:val="0"/>
      <w:numFmt w:val="bullet"/>
      <w:lvlText w:val="o"/>
      <w:lvlJc w:val="left"/>
      <w:pPr>
        <w:widowControl w:val="0"/>
        <w:tabs>
          <w:tab w:leader="none" w:pos="0" w:val="left"/>
        </w:tabs>
        <w:ind w:hanging="360" w:left="1440"/>
      </w:pPr>
      <w:rPr>
        <w:rFonts w:ascii="Courier New" w:hAnsi="Courier New"/>
      </w:rPr>
    </w:lvl>
    <w:lvl w:ilvl="2">
      <w:start w:val="0"/>
      <w:numFmt w:val="bullet"/>
      <w:lvlText w:val=""/>
      <w:lvlJc w:val="left"/>
      <w:pPr>
        <w:widowControl w:val="0"/>
        <w:tabs>
          <w:tab w:leader="none" w:pos="0" w:val="left"/>
        </w:tabs>
        <w:ind w:hanging="360" w:left="2160"/>
      </w:pPr>
      <w:rPr>
        <w:rFonts w:ascii="Wingdings" w:hAnsi="Wingdings"/>
      </w:rPr>
    </w:lvl>
    <w:lvl w:ilvl="3">
      <w:start w:val="0"/>
      <w:numFmt w:val="bullet"/>
      <w:lvlText w:val="-"/>
      <w:lvlJc w:val="left"/>
      <w:pPr>
        <w:widowControl w:val="0"/>
        <w:tabs>
          <w:tab w:leader="none" w:pos="0" w:val="left"/>
        </w:tabs>
        <w:ind w:hanging="360" w:left="2880"/>
      </w:pPr>
      <w:rPr>
        <w:rFonts w:ascii="Calibri" w:hAnsi="Calibri"/>
      </w:rPr>
    </w:lvl>
    <w:lvl w:ilvl="4">
      <w:start w:val="0"/>
      <w:numFmt w:val="bullet"/>
      <w:lvlText w:val="o"/>
      <w:lvlJc w:val="left"/>
      <w:pPr>
        <w:widowControl w:val="0"/>
        <w:tabs>
          <w:tab w:leader="none" w:pos="0" w:val="left"/>
        </w:tabs>
        <w:ind w:hanging="360" w:left="3600"/>
      </w:pPr>
      <w:rPr>
        <w:rFonts w:ascii="Courier New" w:hAnsi="Courier New"/>
      </w:rPr>
    </w:lvl>
    <w:lvl w:ilvl="5">
      <w:start w:val="0"/>
      <w:numFmt w:val="bullet"/>
      <w:lvlText w:val=""/>
      <w:lvlJc w:val="left"/>
      <w:pPr>
        <w:widowControl w:val="0"/>
        <w:tabs>
          <w:tab w:leader="none" w:pos="0" w:val="left"/>
        </w:tabs>
        <w:ind w:hanging="360" w:left="4320"/>
      </w:pPr>
      <w:rPr>
        <w:rFonts w:ascii="Wingdings" w:hAnsi="Wingdings"/>
      </w:rPr>
    </w:lvl>
    <w:lvl w:ilvl="6">
      <w:start w:val="0"/>
      <w:numFmt w:val="bullet"/>
      <w:lvlText w:val="-"/>
      <w:lvlJc w:val="left"/>
      <w:pPr>
        <w:widowControl w:val="0"/>
        <w:tabs>
          <w:tab w:leader="none" w:pos="0" w:val="left"/>
        </w:tabs>
        <w:ind w:hanging="360" w:left="5040"/>
      </w:pPr>
      <w:rPr>
        <w:rFonts w:ascii="Calibri" w:hAnsi="Calibri"/>
      </w:rPr>
    </w:lvl>
    <w:lvl w:ilvl="7">
      <w:start w:val="0"/>
      <w:numFmt w:val="bullet"/>
      <w:lvlText w:val="o"/>
      <w:lvlJc w:val="left"/>
      <w:pPr>
        <w:widowControl w:val="0"/>
        <w:tabs>
          <w:tab w:leader="none" w:pos="0" w:val="left"/>
        </w:tabs>
        <w:ind w:hanging="360" w:left="5760"/>
      </w:pPr>
      <w:rPr>
        <w:rFonts w:ascii="Courier New" w:hAnsi="Courier New"/>
      </w:rPr>
    </w:lvl>
    <w:lvl w:ilvl="8">
      <w:start w:val="0"/>
      <w:numFmt w:val="bullet"/>
      <w:lvlText w:val=""/>
      <w:lvlJc w:val="left"/>
      <w:pPr>
        <w:widowControl w:val="0"/>
        <w:tabs>
          <w:tab w:leader="none" w:pos="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Arial Unicode MS" w:hAnsi="Arial Unicode MS"/>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after="0" w:before="0" w:line="240" w:lineRule="auto"/>
      <w:ind w:firstLine="0" w:left="0" w:right="0"/>
      <w:jc w:val="left"/>
    </w:pPr>
    <w:rPr>
      <w:rFonts w:ascii="Arial Unicode MS" w:hAnsi="Arial Unicode MS"/>
      <w:color w:val="000000"/>
      <w:spacing w:val="0"/>
      <w:sz w:val="24"/>
    </w:rPr>
  </w:style>
  <w:style w:default="1" w:styleId="Style_5_ch" w:type="character">
    <w:name w:val="Normal"/>
    <w:link w:val="Style_5"/>
    <w:rPr>
      <w:rFonts w:ascii="Arial Unicode MS" w:hAnsi="Arial Unicode MS"/>
      <w:color w:val="000000"/>
      <w:spacing w:val="0"/>
      <w:sz w:val="24"/>
    </w:rPr>
  </w:style>
  <w:style w:styleId="Style_9" w:type="paragraph">
    <w:name w:val="Contents 6"/>
    <w:link w:val="Style_9_ch"/>
    <w:rPr>
      <w:rFonts w:ascii="XO Thames" w:hAnsi="XO Thames"/>
      <w:sz w:val="28"/>
    </w:rPr>
  </w:style>
  <w:style w:styleId="Style_9_ch" w:type="character">
    <w:name w:val="Contents 6"/>
    <w:link w:val="Style_9"/>
    <w:rPr>
      <w:rFonts w:ascii="XO Thames" w:hAnsi="XO Thames"/>
      <w:sz w:val="28"/>
    </w:rPr>
  </w:style>
  <w:style w:styleId="Style_10" w:type="paragraph">
    <w:name w:val="annotation subject"/>
    <w:basedOn w:val="Style_11"/>
    <w:next w:val="Style_11"/>
    <w:link w:val="Style_10_ch"/>
    <w:rPr>
      <w:b w:val="1"/>
    </w:rPr>
  </w:style>
  <w:style w:styleId="Style_10_ch" w:type="character">
    <w:name w:val="annotation subject"/>
    <w:basedOn w:val="Style_11_ch"/>
    <w:link w:val="Style_10"/>
    <w:rPr>
      <w:b w:val="1"/>
    </w:rPr>
  </w:style>
  <w:style w:styleId="Style_12" w:type="paragraph">
    <w:name w:val="Заголовок №2"/>
    <w:basedOn w:val="Style_5"/>
    <w:link w:val="Style_12_ch"/>
    <w:pPr>
      <w:widowControl w:val="0"/>
      <w:spacing w:after="30" w:before="0" w:line="252" w:lineRule="auto"/>
      <w:ind w:firstLine="580" w:left="0" w:right="0"/>
      <w:outlineLvl w:val="1"/>
    </w:pPr>
    <w:rPr>
      <w:rFonts w:ascii="Arial" w:hAnsi="Arial"/>
      <w:sz w:val="20"/>
    </w:rPr>
  </w:style>
  <w:style w:styleId="Style_12_ch" w:type="character">
    <w:name w:val="Заголовок №2"/>
    <w:basedOn w:val="Style_5_ch"/>
    <w:link w:val="Style_12"/>
    <w:rPr>
      <w:rFonts w:ascii="Arial" w:hAnsi="Arial"/>
      <w:sz w:val="20"/>
    </w:rPr>
  </w:style>
  <w:style w:styleId="Style_13" w:type="paragraph">
    <w:name w:val="toc 2"/>
    <w:next w:val="Style_5"/>
    <w:link w:val="Style_13_ch"/>
    <w:uiPriority w:val="39"/>
    <w:pPr>
      <w:widowControl w:val="0"/>
      <w:spacing w:after="0" w:before="0" w:line="240" w:lineRule="auto"/>
      <w:ind w:firstLine="0" w:left="200" w:right="0"/>
      <w:jc w:val="left"/>
    </w:pPr>
    <w:rPr>
      <w:rFonts w:ascii="XO Thames" w:hAnsi="XO Thames"/>
      <w:color w:val="000000"/>
      <w:spacing w:val="0"/>
      <w:sz w:val="28"/>
    </w:rPr>
  </w:style>
  <w:style w:styleId="Style_13_ch" w:type="character">
    <w:name w:val="toc 2"/>
    <w:link w:val="Style_13"/>
    <w:rPr>
      <w:rFonts w:ascii="XO Thames" w:hAnsi="XO Thames"/>
      <w:color w:val="000000"/>
      <w:spacing w:val="0"/>
      <w:sz w:val="28"/>
    </w:rPr>
  </w:style>
  <w:style w:styleId="Style_14" w:type="paragraph">
    <w:name w:val="Гиперссылка1_0_1"/>
    <w:link w:val="Style_14_ch"/>
    <w:pPr>
      <w:widowControl w:val="0"/>
      <w:spacing w:after="0" w:before="0" w:line="240" w:lineRule="auto"/>
      <w:ind w:firstLine="0" w:left="0" w:right="0"/>
      <w:jc w:val="left"/>
    </w:pPr>
    <w:rPr>
      <w:rFonts w:ascii="Arial Unicode MS" w:hAnsi="Arial Unicode MS"/>
      <w:color w:val="0000FF"/>
      <w:spacing w:val="0"/>
      <w:sz w:val="24"/>
      <w:u w:val="single"/>
    </w:rPr>
  </w:style>
  <w:style w:styleId="Style_14_ch" w:type="character">
    <w:name w:val="Гиперссылка1_0_1"/>
    <w:link w:val="Style_14"/>
    <w:rPr>
      <w:rFonts w:ascii="Arial Unicode MS" w:hAnsi="Arial Unicode MS"/>
      <w:color w:val="0000FF"/>
      <w:spacing w:val="0"/>
      <w:sz w:val="24"/>
      <w:u w:val="single"/>
    </w:rPr>
  </w:style>
  <w:style w:styleId="Style_15" w:type="paragraph">
    <w:name w:val="Caption"/>
    <w:basedOn w:val="Style_5"/>
    <w:link w:val="Style_15_ch"/>
    <w:pPr>
      <w:widowControl w:val="0"/>
      <w:spacing w:after="120" w:before="120"/>
      <w:ind/>
    </w:pPr>
    <w:rPr>
      <w:rFonts w:ascii="PT Astra Serif" w:hAnsi="PT Astra Serif"/>
      <w:i w:val="1"/>
      <w:sz w:val="24"/>
    </w:rPr>
  </w:style>
  <w:style w:styleId="Style_15_ch" w:type="character">
    <w:name w:val="Caption"/>
    <w:basedOn w:val="Style_5_ch"/>
    <w:link w:val="Style_15"/>
    <w:rPr>
      <w:rFonts w:ascii="PT Astra Serif" w:hAnsi="PT Astra Serif"/>
      <w:i w:val="1"/>
      <w:sz w:val="24"/>
    </w:rPr>
  </w:style>
  <w:style w:styleId="Style_16" w:type="paragraph">
    <w:name w:val="Гиперссылка2"/>
    <w:link w:val="Style_16_ch"/>
    <w:pPr>
      <w:widowControl w:val="1"/>
      <w:spacing w:after="0" w:before="0" w:line="240" w:lineRule="auto"/>
      <w:ind w:firstLine="0" w:left="0" w:right="0"/>
      <w:jc w:val="left"/>
    </w:pPr>
    <w:rPr>
      <w:rFonts w:ascii="Arial Unicode MS" w:hAnsi="Arial Unicode MS"/>
      <w:color w:val="0000FF"/>
      <w:spacing w:val="0"/>
      <w:sz w:val="20"/>
      <w:u w:val="single"/>
    </w:rPr>
  </w:style>
  <w:style w:styleId="Style_16_ch" w:type="character">
    <w:name w:val="Гиперссылка2"/>
    <w:link w:val="Style_16"/>
    <w:rPr>
      <w:rFonts w:ascii="Arial Unicode MS" w:hAnsi="Arial Unicode MS"/>
      <w:color w:val="0000FF"/>
      <w:spacing w:val="0"/>
      <w:sz w:val="20"/>
      <w:u w:val="single"/>
    </w:rPr>
  </w:style>
  <w:style w:styleId="Style_17" w:type="paragraph">
    <w:name w:val="toc 4"/>
    <w:next w:val="Style_5"/>
    <w:link w:val="Style_17_ch"/>
    <w:uiPriority w:val="39"/>
    <w:pPr>
      <w:widowControl w:val="0"/>
      <w:spacing w:after="0" w:before="0" w:line="240" w:lineRule="auto"/>
      <w:ind w:firstLine="0" w:left="600" w:right="0"/>
      <w:jc w:val="left"/>
    </w:pPr>
    <w:rPr>
      <w:rFonts w:ascii="XO Thames" w:hAnsi="XO Thames"/>
      <w:color w:val="000000"/>
      <w:spacing w:val="0"/>
      <w:sz w:val="28"/>
    </w:rPr>
  </w:style>
  <w:style w:styleId="Style_17_ch" w:type="character">
    <w:name w:val="toc 4"/>
    <w:link w:val="Style_17"/>
    <w:rPr>
      <w:rFonts w:ascii="XO Thames" w:hAnsi="XO Thames"/>
      <w:color w:val="000000"/>
      <w:spacing w:val="0"/>
      <w:sz w:val="28"/>
    </w:rPr>
  </w:style>
  <w:style w:styleId="Style_1" w:type="paragraph">
    <w:name w:val="Footer"/>
    <w:basedOn w:val="Style_5"/>
    <w:link w:val="Style_1_ch"/>
    <w:pPr>
      <w:widowControl w:val="0"/>
      <w:tabs>
        <w:tab w:leader="none" w:pos="720" w:val="clear"/>
        <w:tab w:leader="none" w:pos="4677" w:val="center"/>
        <w:tab w:leader="none" w:pos="9355" w:val="right"/>
      </w:tabs>
      <w:ind/>
    </w:pPr>
  </w:style>
  <w:style w:styleId="Style_1_ch" w:type="character">
    <w:name w:val="Footer"/>
    <w:basedOn w:val="Style_5_ch"/>
    <w:link w:val="Style_1"/>
  </w:style>
  <w:style w:styleId="Style_18" w:type="paragraph">
    <w:name w:val="Font Style34"/>
    <w:link w:val="Style_18_ch"/>
    <w:pPr>
      <w:widowControl w:val="1"/>
      <w:spacing w:after="0" w:before="0" w:line="240" w:lineRule="auto"/>
      <w:ind w:firstLine="0" w:left="0" w:right="0"/>
      <w:jc w:val="left"/>
    </w:pPr>
    <w:rPr>
      <w:rFonts w:ascii="Times New Roman" w:hAnsi="Times New Roman"/>
      <w:b w:val="1"/>
      <w:i w:val="1"/>
      <w:color w:val="000000"/>
      <w:spacing w:val="0"/>
      <w:sz w:val="12"/>
    </w:rPr>
  </w:style>
  <w:style w:styleId="Style_18_ch" w:type="character">
    <w:name w:val="Font Style34"/>
    <w:link w:val="Style_18"/>
    <w:rPr>
      <w:rFonts w:ascii="Times New Roman" w:hAnsi="Times New Roman"/>
      <w:b w:val="1"/>
      <w:i w:val="1"/>
      <w:color w:val="000000"/>
      <w:spacing w:val="0"/>
      <w:sz w:val="12"/>
    </w:rPr>
  </w:style>
  <w:style w:styleId="Style_19" w:type="paragraph">
    <w:name w:val="heading 3"/>
    <w:next w:val="Style_5"/>
    <w:link w:val="Style_19_ch"/>
    <w:pPr>
      <w:widowControl w:val="0"/>
      <w:spacing w:after="120" w:before="120" w:line="240" w:lineRule="auto"/>
      <w:ind w:firstLine="0" w:left="0" w:right="0"/>
      <w:jc w:val="both"/>
      <w:outlineLvl w:val="2"/>
    </w:pPr>
    <w:rPr>
      <w:rFonts w:ascii="XO Thames" w:hAnsi="XO Thames"/>
      <w:b w:val="1"/>
      <w:color w:val="000000"/>
      <w:spacing w:val="0"/>
      <w:sz w:val="26"/>
    </w:rPr>
  </w:style>
  <w:style w:styleId="Style_19_ch" w:type="character">
    <w:name w:val="heading 3"/>
    <w:link w:val="Style_19"/>
    <w:rPr>
      <w:rFonts w:ascii="XO Thames" w:hAnsi="XO Thames"/>
      <w:b w:val="1"/>
      <w:color w:val="000000"/>
      <w:spacing w:val="0"/>
      <w:sz w:val="26"/>
    </w:rPr>
  </w:style>
  <w:style w:styleId="Style_20" w:type="paragraph">
    <w:name w:val="Contents 7"/>
    <w:link w:val="Style_20_ch"/>
    <w:rPr>
      <w:rFonts w:ascii="XO Thames" w:hAnsi="XO Thames"/>
      <w:sz w:val="28"/>
    </w:rPr>
  </w:style>
  <w:style w:styleId="Style_20_ch" w:type="character">
    <w:name w:val="Contents 7"/>
    <w:link w:val="Style_20"/>
    <w:rPr>
      <w:rFonts w:ascii="XO Thames" w:hAnsi="XO Thames"/>
      <w:sz w:val="28"/>
    </w:rPr>
  </w:style>
  <w:style w:styleId="Style_21" w:type="paragraph">
    <w:name w:val="toc 6"/>
    <w:next w:val="Style_5"/>
    <w:link w:val="Style_21_ch"/>
    <w:uiPriority w:val="39"/>
    <w:pPr>
      <w:widowControl w:val="0"/>
      <w:spacing w:after="0" w:before="0" w:line="240" w:lineRule="auto"/>
      <w:ind w:firstLine="0" w:left="1000" w:right="0"/>
      <w:jc w:val="left"/>
    </w:pPr>
    <w:rPr>
      <w:rFonts w:ascii="XO Thames" w:hAnsi="XO Thames"/>
      <w:color w:val="000000"/>
      <w:spacing w:val="0"/>
      <w:sz w:val="28"/>
    </w:rPr>
  </w:style>
  <w:style w:styleId="Style_21_ch" w:type="character">
    <w:name w:val="toc 6"/>
    <w:link w:val="Style_21"/>
    <w:rPr>
      <w:rFonts w:ascii="XO Thames" w:hAnsi="XO Thames"/>
      <w:color w:val="000000"/>
      <w:spacing w:val="0"/>
      <w:sz w:val="28"/>
    </w:rPr>
  </w:style>
  <w:style w:styleId="Style_22" w:type="paragraph">
    <w:name w:val="toc 7"/>
    <w:next w:val="Style_5"/>
    <w:link w:val="Style_22_ch"/>
    <w:uiPriority w:val="39"/>
    <w:pPr>
      <w:widowControl w:val="0"/>
      <w:spacing w:after="0" w:before="0" w:line="240" w:lineRule="auto"/>
      <w:ind w:firstLine="0" w:left="1200" w:right="0"/>
      <w:jc w:val="left"/>
    </w:pPr>
    <w:rPr>
      <w:rFonts w:ascii="XO Thames" w:hAnsi="XO Thames"/>
      <w:color w:val="000000"/>
      <w:spacing w:val="0"/>
      <w:sz w:val="28"/>
    </w:rPr>
  </w:style>
  <w:style w:styleId="Style_22_ch" w:type="character">
    <w:name w:val="toc 7"/>
    <w:link w:val="Style_22"/>
    <w:rPr>
      <w:rFonts w:ascii="XO Thames" w:hAnsi="XO Thames"/>
      <w:color w:val="000000"/>
      <w:spacing w:val="0"/>
      <w:sz w:val="28"/>
    </w:rPr>
  </w:style>
  <w:style w:styleId="Style_23" w:type="paragraph">
    <w:name w:val="Другое"/>
    <w:basedOn w:val="Style_5"/>
    <w:link w:val="Style_23_ch"/>
    <w:pPr>
      <w:widowControl w:val="0"/>
      <w:spacing w:line="252" w:lineRule="auto"/>
      <w:ind w:firstLine="400" w:left="0" w:right="0"/>
    </w:pPr>
    <w:rPr>
      <w:rFonts w:ascii="Arial" w:hAnsi="Arial"/>
      <w:sz w:val="20"/>
    </w:rPr>
  </w:style>
  <w:style w:styleId="Style_23_ch" w:type="character">
    <w:name w:val="Другое"/>
    <w:basedOn w:val="Style_5_ch"/>
    <w:link w:val="Style_23"/>
    <w:rPr>
      <w:rFonts w:ascii="Arial" w:hAnsi="Arial"/>
      <w:sz w:val="20"/>
    </w:rPr>
  </w:style>
  <w:style w:styleId="Style_24" w:type="paragraph">
    <w:name w:val="_3"/>
    <w:link w:val="Style_24_ch"/>
    <w:pPr>
      <w:widowControl w:val="1"/>
      <w:spacing w:after="0" w:before="0" w:line="240" w:lineRule="auto"/>
      <w:ind w:firstLine="0" w:left="0" w:right="0"/>
      <w:jc w:val="left"/>
    </w:pPr>
    <w:rPr>
      <w:rFonts w:ascii="Arial Unicode MS" w:hAnsi="Arial Unicode MS"/>
      <w:color w:val="000000"/>
      <w:spacing w:val="0"/>
      <w:sz w:val="24"/>
    </w:rPr>
  </w:style>
  <w:style w:styleId="Style_24_ch" w:type="character">
    <w:name w:val="_3"/>
    <w:link w:val="Style_24"/>
    <w:rPr>
      <w:rFonts w:ascii="Arial Unicode MS" w:hAnsi="Arial Unicode MS"/>
      <w:color w:val="000000"/>
      <w:spacing w:val="0"/>
      <w:sz w:val="24"/>
    </w:rPr>
  </w:style>
  <w:style w:styleId="Style_25" w:type="paragraph">
    <w:name w:val="Основной шрифт абзаца5"/>
    <w:link w:val="Style_25_ch"/>
    <w:pPr>
      <w:widowControl w:val="1"/>
      <w:spacing w:after="0" w:before="0" w:line="240" w:lineRule="auto"/>
      <w:ind w:firstLine="0" w:left="0" w:right="0"/>
      <w:jc w:val="left"/>
    </w:pPr>
    <w:rPr>
      <w:rFonts w:ascii="Arial Unicode MS" w:hAnsi="Arial Unicode MS"/>
      <w:color w:val="000000"/>
      <w:spacing w:val="0"/>
      <w:sz w:val="20"/>
    </w:rPr>
  </w:style>
  <w:style w:styleId="Style_25_ch" w:type="character">
    <w:name w:val="Основной шрифт абзаца5"/>
    <w:link w:val="Style_25"/>
    <w:rPr>
      <w:rFonts w:ascii="Arial Unicode MS" w:hAnsi="Arial Unicode MS"/>
      <w:color w:val="000000"/>
      <w:spacing w:val="0"/>
      <w:sz w:val="20"/>
    </w:rPr>
  </w:style>
  <w:style w:styleId="Style_26" w:type="paragraph">
    <w:name w:val="heading 4"/>
    <w:link w:val="Style_26_ch"/>
    <w:pPr>
      <w:widowControl w:val="0"/>
      <w:ind/>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27" w:type="paragraph">
    <w:name w:val="Header"/>
    <w:link w:val="Style_27_ch"/>
  </w:style>
  <w:style w:styleId="Style_27_ch" w:type="character">
    <w:name w:val="Header"/>
    <w:link w:val="Style_27"/>
  </w:style>
  <w:style w:styleId="Style_28" w:type="paragraph">
    <w:name w:val="Header"/>
    <w:basedOn w:val="Style_5"/>
    <w:link w:val="Style_28_ch"/>
    <w:pPr>
      <w:widowControl w:val="0"/>
      <w:tabs>
        <w:tab w:leader="none" w:pos="720" w:val="clear"/>
        <w:tab w:leader="none" w:pos="4677" w:val="center"/>
        <w:tab w:leader="none" w:pos="9355" w:val="right"/>
      </w:tabs>
      <w:ind/>
    </w:pPr>
  </w:style>
  <w:style w:styleId="Style_28_ch" w:type="character">
    <w:name w:val="Header"/>
    <w:basedOn w:val="Style_5_ch"/>
    <w:link w:val="Style_28"/>
  </w:style>
  <w:style w:styleId="Style_29" w:type="paragraph">
    <w:name w:val="Гиперссылка1_0_0"/>
    <w:link w:val="Style_29_ch"/>
    <w:pPr>
      <w:widowControl w:val="0"/>
      <w:spacing w:after="0" w:before="0" w:line="240" w:lineRule="auto"/>
      <w:ind w:firstLine="0" w:left="0" w:right="0"/>
      <w:jc w:val="left"/>
    </w:pPr>
    <w:rPr>
      <w:rFonts w:ascii="Arial Unicode MS" w:hAnsi="Arial Unicode MS"/>
      <w:color w:val="0000FF"/>
      <w:spacing w:val="0"/>
      <w:sz w:val="24"/>
      <w:u w:val="single"/>
    </w:rPr>
  </w:style>
  <w:style w:styleId="Style_29_ch" w:type="character">
    <w:name w:val="Гиперссылка1_0_0"/>
    <w:link w:val="Style_29"/>
    <w:rPr>
      <w:rFonts w:ascii="Arial Unicode MS" w:hAnsi="Arial Unicode MS"/>
      <w:color w:val="0000FF"/>
      <w:spacing w:val="0"/>
      <w:sz w:val="24"/>
      <w:u w:val="single"/>
    </w:rPr>
  </w:style>
  <w:style w:styleId="Style_30" w:type="paragraph">
    <w:name w:val="Endnote"/>
    <w:link w:val="Style_30_ch"/>
    <w:pPr>
      <w:widowControl w:val="0"/>
      <w:spacing w:after="0" w:before="0" w:line="240" w:lineRule="auto"/>
      <w:ind w:firstLine="851" w:left="0" w:right="0"/>
      <w:jc w:val="both"/>
    </w:pPr>
    <w:rPr>
      <w:rFonts w:ascii="XO Thames" w:hAnsi="XO Thames"/>
      <w:color w:val="000000"/>
      <w:spacing w:val="0"/>
      <w:sz w:val="22"/>
    </w:rPr>
  </w:style>
  <w:style w:styleId="Style_30_ch" w:type="character">
    <w:name w:val="Endnote"/>
    <w:link w:val="Style_30"/>
    <w:rPr>
      <w:rFonts w:ascii="XO Thames" w:hAnsi="XO Thames"/>
      <w:color w:val="000000"/>
      <w:spacing w:val="0"/>
      <w:sz w:val="22"/>
    </w:rPr>
  </w:style>
  <w:style w:styleId="Style_31" w:type="paragraph">
    <w:name w:val="heading 3"/>
    <w:link w:val="Style_31_ch"/>
    <w:uiPriority w:val="9"/>
    <w:qFormat/>
    <w:pPr>
      <w:widowControl w:val="0"/>
      <w:ind/>
      <w:outlineLvl w:val="2"/>
    </w:pPr>
    <w:rPr>
      <w:rFonts w:ascii="XO Thames" w:hAnsi="XO Thames"/>
      <w:b w:val="1"/>
      <w:sz w:val="26"/>
    </w:rPr>
  </w:style>
  <w:style w:styleId="Style_31_ch" w:type="character">
    <w:name w:val="heading 3"/>
    <w:link w:val="Style_31"/>
    <w:rPr>
      <w:rFonts w:ascii="XO Thames" w:hAnsi="XO Thames"/>
      <w:b w:val="1"/>
      <w:sz w:val="26"/>
    </w:rPr>
  </w:style>
  <w:style w:styleId="Style_32" w:type="paragraph">
    <w:name w:val="Подпись к таблице"/>
    <w:basedOn w:val="Style_5"/>
    <w:link w:val="Style_32_ch"/>
    <w:pPr>
      <w:widowControl w:val="0"/>
      <w:ind w:firstLine="580" w:left="0" w:right="0"/>
    </w:pPr>
    <w:rPr>
      <w:rFonts w:ascii="Arial" w:hAnsi="Arial"/>
      <w:sz w:val="20"/>
    </w:rPr>
  </w:style>
  <w:style w:styleId="Style_32_ch" w:type="character">
    <w:name w:val="Подпись к таблице"/>
    <w:basedOn w:val="Style_5_ch"/>
    <w:link w:val="Style_32"/>
    <w:rPr>
      <w:rFonts w:ascii="Arial" w:hAnsi="Arial"/>
      <w:sz w:val="20"/>
    </w:rPr>
  </w:style>
  <w:style w:styleId="Style_33" w:type="paragraph">
    <w:name w:val="Balloon Text"/>
    <w:basedOn w:val="Style_5"/>
    <w:link w:val="Style_33_ch"/>
    <w:rPr>
      <w:rFonts w:ascii="Tahoma" w:hAnsi="Tahoma"/>
      <w:sz w:val="16"/>
    </w:rPr>
  </w:style>
  <w:style w:styleId="Style_33_ch" w:type="character">
    <w:name w:val="Balloon Text"/>
    <w:basedOn w:val="Style_5_ch"/>
    <w:link w:val="Style_33"/>
    <w:rPr>
      <w:rFonts w:ascii="Tahoma" w:hAnsi="Tahoma"/>
      <w:sz w:val="16"/>
    </w:rPr>
  </w:style>
  <w:style w:styleId="Style_34" w:type="paragraph">
    <w:name w:val="Обычный1"/>
    <w:link w:val="Style_34_ch"/>
    <w:pPr>
      <w:widowControl w:val="1"/>
      <w:spacing w:after="0" w:before="0" w:line="240" w:lineRule="auto"/>
      <w:ind w:firstLine="0" w:left="0" w:right="0"/>
      <w:jc w:val="left"/>
    </w:pPr>
    <w:rPr>
      <w:rFonts w:ascii="Arial Unicode MS" w:hAnsi="Arial Unicode MS"/>
      <w:color w:val="000000"/>
      <w:spacing w:val="0"/>
      <w:sz w:val="24"/>
    </w:rPr>
  </w:style>
  <w:style w:styleId="Style_34_ch" w:type="character">
    <w:name w:val="Обычный1"/>
    <w:link w:val="Style_34"/>
    <w:rPr>
      <w:rFonts w:ascii="Arial Unicode MS" w:hAnsi="Arial Unicode MS"/>
      <w:color w:val="000000"/>
      <w:spacing w:val="0"/>
      <w:sz w:val="24"/>
    </w:rPr>
  </w:style>
  <w:style w:styleId="Style_35" w:type="paragraph">
    <w:name w:val="Default Paragraph Font"/>
    <w:link w:val="Style_35_ch"/>
    <w:pPr>
      <w:widowControl w:val="1"/>
      <w:spacing w:after="0" w:before="0" w:line="240" w:lineRule="auto"/>
      <w:ind w:firstLine="0" w:left="0" w:right="0"/>
      <w:jc w:val="left"/>
    </w:pPr>
    <w:rPr>
      <w:rFonts w:ascii="Arial Unicode MS" w:hAnsi="Arial Unicode MS"/>
      <w:color w:val="000000"/>
      <w:spacing w:val="0"/>
      <w:sz w:val="20"/>
    </w:rPr>
  </w:style>
  <w:style w:styleId="Style_35_ch" w:type="character">
    <w:name w:val="Default Paragraph Font"/>
    <w:link w:val="Style_35"/>
    <w:rPr>
      <w:rFonts w:ascii="Arial Unicode MS" w:hAnsi="Arial Unicode MS"/>
      <w:color w:val="000000"/>
      <w:spacing w:val="0"/>
      <w:sz w:val="20"/>
    </w:rPr>
  </w:style>
  <w:style w:styleId="Style_6" w:type="paragraph">
    <w:name w:val="List Paragraph"/>
    <w:basedOn w:val="Style_5"/>
    <w:link w:val="Style_6_ch"/>
    <w:pPr>
      <w:widowControl w:val="1"/>
      <w:spacing w:after="60" w:before="0"/>
      <w:ind w:firstLine="0" w:left="720" w:right="0"/>
      <w:contextualSpacing w:val="1"/>
      <w:jc w:val="both"/>
    </w:pPr>
    <w:rPr>
      <w:rFonts w:ascii="Times New Roman" w:hAnsi="Times New Roman"/>
      <w:sz w:val="22"/>
    </w:rPr>
  </w:style>
  <w:style w:styleId="Style_6_ch" w:type="character">
    <w:name w:val="List Paragraph"/>
    <w:basedOn w:val="Style_5_ch"/>
    <w:link w:val="Style_6"/>
    <w:rPr>
      <w:rFonts w:ascii="Times New Roman" w:hAnsi="Times New Roman"/>
      <w:sz w:val="22"/>
    </w:rPr>
  </w:style>
  <w:style w:styleId="Style_36" w:type="paragraph">
    <w:name w:val="List"/>
    <w:basedOn w:val="Style_3"/>
    <w:link w:val="Style_36_ch"/>
    <w:rPr>
      <w:rFonts w:ascii="PT Astra Serif" w:hAnsi="PT Astra Serif"/>
    </w:rPr>
  </w:style>
  <w:style w:styleId="Style_36_ch" w:type="character">
    <w:name w:val="List"/>
    <w:basedOn w:val="Style_3_ch"/>
    <w:link w:val="Style_36"/>
    <w:rPr>
      <w:rFonts w:ascii="PT Astra Serif" w:hAnsi="PT Astra Serif"/>
    </w:rPr>
  </w:style>
  <w:style w:styleId="Style_37" w:type="paragraph">
    <w:name w:val="Оглавление 5 Знак"/>
    <w:link w:val="Style_37_ch"/>
    <w:pPr>
      <w:widowControl w:val="1"/>
      <w:spacing w:after="0" w:before="0" w:line="240" w:lineRule="auto"/>
      <w:ind w:firstLine="0" w:left="0" w:right="0"/>
      <w:jc w:val="left"/>
    </w:pPr>
    <w:rPr>
      <w:rFonts w:ascii="XO Thames" w:hAnsi="XO Thames"/>
      <w:color w:val="000000"/>
      <w:spacing w:val="0"/>
      <w:sz w:val="28"/>
    </w:rPr>
  </w:style>
  <w:style w:styleId="Style_37_ch" w:type="character">
    <w:name w:val="Оглавление 5 Знак"/>
    <w:link w:val="Style_37"/>
    <w:rPr>
      <w:rFonts w:ascii="XO Thames" w:hAnsi="XO Thames"/>
      <w:color w:val="000000"/>
      <w:spacing w:val="0"/>
      <w:sz w:val="28"/>
    </w:rPr>
  </w:style>
  <w:style w:styleId="Style_4" w:type="paragraph">
    <w:name w:val="Основной текст (2)"/>
    <w:basedOn w:val="Style_5"/>
    <w:link w:val="Style_4_ch"/>
    <w:pPr>
      <w:widowControl w:val="0"/>
      <w:spacing w:after="280" w:before="0"/>
      <w:ind w:firstLine="490" w:left="240" w:right="0"/>
    </w:pPr>
    <w:rPr>
      <w:rFonts w:ascii="Arial" w:hAnsi="Arial"/>
      <w:i w:val="1"/>
      <w:sz w:val="16"/>
    </w:rPr>
  </w:style>
  <w:style w:styleId="Style_4_ch" w:type="character">
    <w:name w:val="Основной текст (2)"/>
    <w:basedOn w:val="Style_5_ch"/>
    <w:link w:val="Style_4"/>
    <w:rPr>
      <w:rFonts w:ascii="Arial" w:hAnsi="Arial"/>
      <w:i w:val="1"/>
      <w:sz w:val="16"/>
    </w:rPr>
  </w:style>
  <w:style w:styleId="Style_38" w:type="paragraph">
    <w:name w:val="heading 5"/>
    <w:next w:val="Style_5"/>
    <w:link w:val="Style_38_ch"/>
    <w:pPr>
      <w:widowControl w:val="0"/>
      <w:spacing w:after="120" w:before="120" w:line="240" w:lineRule="auto"/>
      <w:ind w:firstLine="0" w:left="0" w:right="0"/>
      <w:jc w:val="both"/>
      <w:outlineLvl w:val="4"/>
    </w:pPr>
    <w:rPr>
      <w:rFonts w:ascii="XO Thames" w:hAnsi="XO Thames"/>
      <w:b w:val="1"/>
      <w:color w:val="000000"/>
      <w:spacing w:val="0"/>
      <w:sz w:val="22"/>
    </w:rPr>
  </w:style>
  <w:style w:styleId="Style_38_ch" w:type="character">
    <w:name w:val="heading 5"/>
    <w:link w:val="Style_38"/>
    <w:rPr>
      <w:rFonts w:ascii="XO Thames" w:hAnsi="XO Thames"/>
      <w:b w:val="1"/>
      <w:color w:val="000000"/>
      <w:spacing w:val="0"/>
      <w:sz w:val="22"/>
    </w:rPr>
  </w:style>
  <w:style w:styleId="Style_39" w:type="paragraph">
    <w:name w:val="Internet link"/>
    <w:link w:val="Style_39_ch"/>
    <w:pPr>
      <w:widowControl w:val="1"/>
      <w:spacing w:after="0" w:before="0" w:line="240" w:lineRule="auto"/>
      <w:ind w:firstLine="0" w:left="0" w:right="0"/>
      <w:jc w:val="left"/>
    </w:pPr>
    <w:rPr>
      <w:rFonts w:ascii="Arial Unicode MS" w:hAnsi="Arial Unicode MS"/>
      <w:color w:val="0000FF"/>
      <w:spacing w:val="0"/>
      <w:sz w:val="20"/>
      <w:u w:val="single"/>
    </w:rPr>
  </w:style>
  <w:style w:styleId="Style_39_ch" w:type="character">
    <w:name w:val="Internet link"/>
    <w:link w:val="Style_39"/>
    <w:rPr>
      <w:rFonts w:ascii="Arial Unicode MS" w:hAnsi="Arial Unicode MS"/>
      <w:color w:val="0000FF"/>
      <w:spacing w:val="0"/>
      <w:sz w:val="20"/>
      <w:u w:val="single"/>
    </w:rPr>
  </w:style>
  <w:style w:styleId="Style_40" w:type="paragraph">
    <w:name w:val="Title"/>
    <w:next w:val="Style_5"/>
    <w:link w:val="Style_40_ch"/>
    <w:pPr>
      <w:widowControl w:val="0"/>
      <w:spacing w:after="567" w:before="567" w:line="240" w:lineRule="auto"/>
      <w:ind w:firstLine="0" w:left="0" w:right="0"/>
      <w:jc w:val="center"/>
    </w:pPr>
    <w:rPr>
      <w:rFonts w:ascii="XO Thames" w:hAnsi="XO Thames"/>
      <w:b w:val="1"/>
      <w:caps w:val="1"/>
      <w:color w:val="000000"/>
      <w:spacing w:val="0"/>
      <w:sz w:val="40"/>
    </w:rPr>
  </w:style>
  <w:style w:styleId="Style_40_ch" w:type="character">
    <w:name w:val="Title"/>
    <w:link w:val="Style_40"/>
    <w:rPr>
      <w:rFonts w:ascii="XO Thames" w:hAnsi="XO Thames"/>
      <w:b w:val="1"/>
      <w:caps w:val="1"/>
      <w:color w:val="000000"/>
      <w:spacing w:val="0"/>
      <w:sz w:val="40"/>
    </w:rPr>
  </w:style>
  <w:style w:styleId="Style_41" w:type="paragraph">
    <w:name w:val="Contents 2"/>
    <w:link w:val="Style_41_ch"/>
    <w:rPr>
      <w:rFonts w:ascii="XO Thames" w:hAnsi="XO Thames"/>
      <w:sz w:val="28"/>
    </w:rPr>
  </w:style>
  <w:style w:styleId="Style_41_ch" w:type="character">
    <w:name w:val="Contents 2"/>
    <w:link w:val="Style_41"/>
    <w:rPr>
      <w:rFonts w:ascii="XO Thames" w:hAnsi="XO Thames"/>
      <w:sz w:val="28"/>
    </w:rPr>
  </w:style>
  <w:style w:styleId="Style_42" w:type="paragraph">
    <w:name w:val="Знак примечания1"/>
    <w:basedOn w:val="Style_43"/>
    <w:link w:val="Style_42_ch"/>
    <w:rPr>
      <w:sz w:val="16"/>
    </w:rPr>
  </w:style>
  <w:style w:styleId="Style_42_ch" w:type="character">
    <w:name w:val="Знак примечания1"/>
    <w:basedOn w:val="Style_43_ch"/>
    <w:link w:val="Style_42"/>
    <w:rPr>
      <w:sz w:val="16"/>
    </w:rPr>
  </w:style>
  <w:style w:styleId="Style_44" w:type="paragraph">
    <w:name w:val="Знак примечания3"/>
    <w:basedOn w:val="Style_43"/>
    <w:link w:val="Style_44_ch"/>
    <w:rPr>
      <w:sz w:val="16"/>
    </w:rPr>
  </w:style>
  <w:style w:styleId="Style_44_ch" w:type="character">
    <w:name w:val="Знак примечания3"/>
    <w:basedOn w:val="Style_43_ch"/>
    <w:link w:val="Style_44"/>
    <w:rPr>
      <w:sz w:val="16"/>
    </w:rPr>
  </w:style>
  <w:style w:styleId="Style_2" w:type="paragraph">
    <w:name w:val="Заголовок №1"/>
    <w:basedOn w:val="Style_5"/>
    <w:link w:val="Style_2_ch"/>
    <w:pPr>
      <w:widowControl w:val="0"/>
      <w:spacing w:line="252" w:lineRule="auto"/>
      <w:ind/>
      <w:jc w:val="center"/>
      <w:outlineLvl w:val="0"/>
    </w:pPr>
    <w:rPr>
      <w:rFonts w:ascii="Arial" w:hAnsi="Arial"/>
      <w:b w:val="1"/>
      <w:sz w:val="20"/>
    </w:rPr>
  </w:style>
  <w:style w:styleId="Style_2_ch" w:type="character">
    <w:name w:val="Заголовок №1"/>
    <w:basedOn w:val="Style_5_ch"/>
    <w:link w:val="Style_2"/>
    <w:rPr>
      <w:rFonts w:ascii="Arial" w:hAnsi="Arial"/>
      <w:b w:val="1"/>
      <w:sz w:val="20"/>
    </w:rPr>
  </w:style>
  <w:style w:styleId="Style_8" w:type="paragraph">
    <w:name w:val="ConsPlusNormal"/>
    <w:link w:val="Style_8_ch"/>
    <w:pPr>
      <w:widowControl w:val="0"/>
      <w:spacing w:after="0" w:before="0" w:line="240" w:lineRule="auto"/>
      <w:ind w:firstLine="0" w:left="0" w:right="0"/>
      <w:jc w:val="left"/>
    </w:pPr>
    <w:rPr>
      <w:rFonts w:ascii="Times New Roman" w:hAnsi="Times New Roman"/>
      <w:color w:val="000000"/>
      <w:spacing w:val="0"/>
      <w:sz w:val="28"/>
    </w:rPr>
  </w:style>
  <w:style w:styleId="Style_8_ch" w:type="character">
    <w:name w:val="ConsPlusNormal"/>
    <w:link w:val="Style_8"/>
    <w:rPr>
      <w:rFonts w:ascii="Times New Roman" w:hAnsi="Times New Roman"/>
      <w:color w:val="000000"/>
      <w:spacing w:val="0"/>
      <w:sz w:val="28"/>
    </w:rPr>
  </w:style>
  <w:style w:styleId="Style_45" w:type="paragraph">
    <w:name w:val="Footer"/>
    <w:link w:val="Style_45_ch"/>
  </w:style>
  <w:style w:styleId="Style_45_ch" w:type="character">
    <w:name w:val="Footer"/>
    <w:link w:val="Style_45"/>
  </w:style>
  <w:style w:styleId="Style_46" w:type="paragraph">
    <w:name w:val="Гиперссылка4"/>
    <w:link w:val="Style_46_ch"/>
    <w:pPr>
      <w:widowControl w:val="1"/>
      <w:spacing w:after="0" w:before="0" w:line="240" w:lineRule="auto"/>
      <w:ind w:firstLine="0" w:left="0" w:right="0"/>
      <w:jc w:val="left"/>
    </w:pPr>
    <w:rPr>
      <w:rFonts w:ascii="Arial Unicode MS" w:hAnsi="Arial Unicode MS"/>
      <w:color w:val="0000FF"/>
      <w:spacing w:val="0"/>
      <w:sz w:val="20"/>
      <w:u w:val="single"/>
    </w:rPr>
  </w:style>
  <w:style w:styleId="Style_46_ch" w:type="character">
    <w:name w:val="Гиперссылка4"/>
    <w:link w:val="Style_46"/>
    <w:rPr>
      <w:rFonts w:ascii="Arial Unicode MS" w:hAnsi="Arial Unicode MS"/>
      <w:color w:val="0000FF"/>
      <w:spacing w:val="0"/>
      <w:sz w:val="20"/>
      <w:u w:val="single"/>
    </w:rPr>
  </w:style>
  <w:style w:styleId="Style_3" w:type="paragraph">
    <w:name w:val="Body Text"/>
    <w:basedOn w:val="Style_5"/>
    <w:link w:val="Style_3_ch"/>
    <w:pPr>
      <w:widowControl w:val="0"/>
      <w:spacing w:line="252" w:lineRule="auto"/>
      <w:ind w:firstLine="400" w:left="0" w:right="0"/>
    </w:pPr>
    <w:rPr>
      <w:rFonts w:ascii="Arial" w:hAnsi="Arial"/>
      <w:sz w:val="20"/>
    </w:rPr>
  </w:style>
  <w:style w:styleId="Style_3_ch" w:type="character">
    <w:name w:val="Body Text"/>
    <w:basedOn w:val="Style_5_ch"/>
    <w:link w:val="Style_3"/>
    <w:rPr>
      <w:rFonts w:ascii="Arial" w:hAnsi="Arial"/>
      <w:sz w:val="20"/>
    </w:rPr>
  </w:style>
  <w:style w:styleId="Style_47" w:type="paragraph">
    <w:name w:val="toc 3"/>
    <w:next w:val="Style_5"/>
    <w:link w:val="Style_47_ch"/>
    <w:uiPriority w:val="39"/>
    <w:pPr>
      <w:widowControl w:val="0"/>
      <w:spacing w:after="0" w:before="0" w:line="240" w:lineRule="auto"/>
      <w:ind w:firstLine="0" w:left="400" w:right="0"/>
      <w:jc w:val="left"/>
    </w:pPr>
    <w:rPr>
      <w:rFonts w:ascii="XO Thames" w:hAnsi="XO Thames"/>
      <w:color w:val="000000"/>
      <w:spacing w:val="0"/>
      <w:sz w:val="28"/>
    </w:rPr>
  </w:style>
  <w:style w:styleId="Style_47_ch" w:type="character">
    <w:name w:val="toc 3"/>
    <w:link w:val="Style_47"/>
    <w:rPr>
      <w:rFonts w:ascii="XO Thames" w:hAnsi="XO Thames"/>
      <w:color w:val="000000"/>
      <w:spacing w:val="0"/>
      <w:sz w:val="28"/>
    </w:rPr>
  </w:style>
  <w:style w:styleId="Style_48" w:type="paragraph">
    <w:name w:val="Оглавление 9 Знак"/>
    <w:link w:val="Style_48_ch"/>
    <w:pPr>
      <w:widowControl w:val="1"/>
      <w:spacing w:after="0" w:before="0" w:line="240" w:lineRule="auto"/>
      <w:ind w:firstLine="0" w:left="0" w:right="0"/>
      <w:jc w:val="left"/>
    </w:pPr>
    <w:rPr>
      <w:rFonts w:ascii="XO Thames" w:hAnsi="XO Thames"/>
      <w:color w:val="000000"/>
      <w:spacing w:val="0"/>
      <w:sz w:val="28"/>
    </w:rPr>
  </w:style>
  <w:style w:styleId="Style_48_ch" w:type="character">
    <w:name w:val="Оглавление 9 Знак"/>
    <w:link w:val="Style_48"/>
    <w:rPr>
      <w:rFonts w:ascii="XO Thames" w:hAnsi="XO Thames"/>
      <w:color w:val="000000"/>
      <w:spacing w:val="0"/>
      <w:sz w:val="28"/>
    </w:rPr>
  </w:style>
  <w:style w:styleId="Style_49" w:type="paragraph">
    <w:name w:val="Обычный1_4"/>
    <w:link w:val="Style_49_ch"/>
    <w:pPr>
      <w:widowControl w:val="0"/>
      <w:spacing w:after="0" w:before="0" w:line="240" w:lineRule="auto"/>
      <w:ind w:firstLine="0" w:left="0" w:right="0"/>
      <w:jc w:val="left"/>
    </w:pPr>
    <w:rPr>
      <w:rFonts w:ascii="Arial Unicode MS" w:hAnsi="Arial Unicode MS"/>
      <w:color w:val="000000"/>
      <w:spacing w:val="0"/>
      <w:sz w:val="24"/>
    </w:rPr>
  </w:style>
  <w:style w:styleId="Style_49_ch" w:type="character">
    <w:name w:val="Обычный1_4"/>
    <w:link w:val="Style_49"/>
    <w:rPr>
      <w:rFonts w:ascii="Arial Unicode MS" w:hAnsi="Arial Unicode MS"/>
      <w:color w:val="000000"/>
      <w:spacing w:val="0"/>
      <w:sz w:val="24"/>
    </w:rPr>
  </w:style>
  <w:style w:styleId="Style_11" w:type="paragraph">
    <w:name w:val="annotation text"/>
    <w:basedOn w:val="Style_5"/>
    <w:link w:val="Style_11_ch"/>
    <w:rPr>
      <w:sz w:val="20"/>
    </w:rPr>
  </w:style>
  <w:style w:styleId="Style_11_ch" w:type="character">
    <w:name w:val="annotation text"/>
    <w:basedOn w:val="Style_5_ch"/>
    <w:link w:val="Style_11"/>
    <w:rPr>
      <w:sz w:val="20"/>
    </w:rPr>
  </w:style>
  <w:style w:styleId="Style_50" w:type="paragraph">
    <w:name w:val="Колонтитул"/>
    <w:link w:val="Style_50_ch"/>
    <w:pPr>
      <w:widowControl w:val="0"/>
      <w:spacing w:after="0" w:before="0" w:line="240" w:lineRule="auto"/>
      <w:ind w:firstLine="0" w:left="0" w:right="0"/>
      <w:jc w:val="both"/>
    </w:pPr>
    <w:rPr>
      <w:rFonts w:ascii="XO Thames" w:hAnsi="XO Thames"/>
      <w:color w:val="000000"/>
      <w:spacing w:val="0"/>
      <w:sz w:val="28"/>
    </w:rPr>
  </w:style>
  <w:style w:styleId="Style_50_ch" w:type="character">
    <w:name w:val="Колонтитул"/>
    <w:link w:val="Style_50"/>
    <w:rPr>
      <w:rFonts w:ascii="XO Thames" w:hAnsi="XO Thames"/>
      <w:color w:val="000000"/>
      <w:spacing w:val="0"/>
      <w:sz w:val="28"/>
    </w:rPr>
  </w:style>
  <w:style w:styleId="Style_51" w:type="paragraph">
    <w:name w:val="Основной шрифт абзаца3"/>
    <w:link w:val="Style_51_ch"/>
    <w:pPr>
      <w:widowControl w:val="0"/>
      <w:spacing w:after="0" w:before="0" w:line="240" w:lineRule="auto"/>
      <w:ind w:firstLine="0" w:left="0" w:right="0"/>
      <w:jc w:val="left"/>
    </w:pPr>
    <w:rPr>
      <w:rFonts w:ascii="Arial Unicode MS" w:hAnsi="Arial Unicode MS"/>
      <w:color w:val="000000"/>
      <w:spacing w:val="0"/>
      <w:sz w:val="24"/>
    </w:rPr>
  </w:style>
  <w:style w:styleId="Style_51_ch" w:type="character">
    <w:name w:val="Основной шрифт абзаца3"/>
    <w:link w:val="Style_51"/>
    <w:rPr>
      <w:rFonts w:ascii="Arial Unicode MS" w:hAnsi="Arial Unicode MS"/>
      <w:color w:val="000000"/>
      <w:spacing w:val="0"/>
      <w:sz w:val="24"/>
    </w:rPr>
  </w:style>
  <w:style w:styleId="Style_52" w:type="paragraph">
    <w:name w:val="heading 5"/>
    <w:link w:val="Style_52_ch"/>
    <w:uiPriority w:val="9"/>
    <w:qFormat/>
    <w:pPr>
      <w:widowControl w:val="0"/>
      <w:ind/>
      <w:outlineLvl w:val="4"/>
    </w:pPr>
    <w:rPr>
      <w:rFonts w:ascii="XO Thames" w:hAnsi="XO Thames"/>
      <w:b w:val="1"/>
      <w:sz w:val="22"/>
    </w:rPr>
  </w:style>
  <w:style w:styleId="Style_52_ch" w:type="character">
    <w:name w:val="heading 5"/>
    <w:link w:val="Style_52"/>
    <w:rPr>
      <w:rFonts w:ascii="XO Thames" w:hAnsi="XO Thames"/>
      <w:b w:val="1"/>
      <w:sz w:val="22"/>
    </w:rPr>
  </w:style>
  <w:style w:styleId="Style_53" w:type="paragraph">
    <w:name w:val="Основной текст (4)"/>
    <w:basedOn w:val="Style_5"/>
    <w:link w:val="Style_53_ch"/>
    <w:rPr>
      <w:rFonts w:ascii="Times New Roman" w:hAnsi="Times New Roman"/>
    </w:rPr>
  </w:style>
  <w:style w:styleId="Style_53_ch" w:type="character">
    <w:name w:val="Основной текст (4)"/>
    <w:basedOn w:val="Style_5_ch"/>
    <w:link w:val="Style_53"/>
    <w:rPr>
      <w:rFonts w:ascii="Times New Roman" w:hAnsi="Times New Roman"/>
    </w:rPr>
  </w:style>
  <w:style w:styleId="Style_54" w:type="paragraph">
    <w:name w:val="Обычный1_0_0_0"/>
    <w:link w:val="Style_54_ch"/>
    <w:pPr>
      <w:widowControl w:val="0"/>
      <w:spacing w:after="0" w:before="0" w:line="240" w:lineRule="auto"/>
      <w:ind w:firstLine="0" w:left="0" w:right="0"/>
      <w:jc w:val="left"/>
    </w:pPr>
    <w:rPr>
      <w:rFonts w:ascii="Arial Unicode MS" w:hAnsi="Arial Unicode MS"/>
      <w:color w:val="000000"/>
      <w:spacing w:val="0"/>
      <w:sz w:val="24"/>
    </w:rPr>
  </w:style>
  <w:style w:styleId="Style_54_ch" w:type="character">
    <w:name w:val="Обычный1_0_0_0"/>
    <w:link w:val="Style_54"/>
    <w:rPr>
      <w:rFonts w:ascii="Arial Unicode MS" w:hAnsi="Arial Unicode MS"/>
      <w:color w:val="000000"/>
      <w:spacing w:val="0"/>
      <w:sz w:val="24"/>
    </w:rPr>
  </w:style>
  <w:style w:styleId="Style_55" w:type="paragraph">
    <w:name w:val="Заголовок"/>
    <w:basedOn w:val="Style_5"/>
    <w:next w:val="Style_3"/>
    <w:link w:val="Style_55_ch"/>
    <w:pPr>
      <w:keepNext w:val="1"/>
      <w:widowControl w:val="0"/>
      <w:spacing w:after="120" w:before="240"/>
      <w:ind/>
    </w:pPr>
    <w:rPr>
      <w:rFonts w:ascii="PT Astra Serif" w:hAnsi="PT Astra Serif"/>
      <w:sz w:val="28"/>
    </w:rPr>
  </w:style>
  <w:style w:styleId="Style_55_ch" w:type="character">
    <w:name w:val="Заголовок"/>
    <w:basedOn w:val="Style_5_ch"/>
    <w:link w:val="Style_55"/>
    <w:rPr>
      <w:rFonts w:ascii="PT Astra Serif" w:hAnsi="PT Astra Serif"/>
      <w:sz w:val="28"/>
    </w:rPr>
  </w:style>
  <w:style w:styleId="Style_56" w:type="paragraph">
    <w:name w:val="heading 1"/>
    <w:next w:val="Style_5"/>
    <w:link w:val="Style_56_ch"/>
    <w:uiPriority w:val="9"/>
    <w:qFormat/>
    <w:pPr>
      <w:widowControl w:val="0"/>
      <w:spacing w:after="120" w:before="120" w:line="240" w:lineRule="auto"/>
      <w:ind w:firstLine="0" w:left="0" w:right="0"/>
      <w:jc w:val="both"/>
      <w:outlineLvl w:val="0"/>
    </w:pPr>
    <w:rPr>
      <w:rFonts w:ascii="XO Thames" w:hAnsi="XO Thames"/>
      <w:b w:val="1"/>
      <w:color w:val="000000"/>
      <w:spacing w:val="0"/>
      <w:sz w:val="32"/>
    </w:rPr>
  </w:style>
  <w:style w:styleId="Style_56_ch" w:type="character">
    <w:name w:val="heading 1"/>
    <w:link w:val="Style_56"/>
    <w:rPr>
      <w:rFonts w:ascii="XO Thames" w:hAnsi="XO Thames"/>
      <w:b w:val="1"/>
      <w:color w:val="000000"/>
      <w:spacing w:val="0"/>
      <w:sz w:val="32"/>
    </w:rPr>
  </w:style>
  <w:style w:styleId="Style_57" w:type="paragraph">
    <w:name w:val="Contents 9"/>
    <w:link w:val="Style_57_ch"/>
    <w:rPr>
      <w:rFonts w:ascii="XO Thames" w:hAnsi="XO Thames"/>
      <w:sz w:val="28"/>
    </w:rPr>
  </w:style>
  <w:style w:styleId="Style_57_ch" w:type="character">
    <w:name w:val="Contents 9"/>
    <w:link w:val="Style_57"/>
    <w:rPr>
      <w:rFonts w:ascii="XO Thames" w:hAnsi="XO Thames"/>
      <w:sz w:val="28"/>
    </w:rPr>
  </w:style>
  <w:style w:styleId="Style_58" w:type="paragraph">
    <w:name w:val="Колонтитул (2)"/>
    <w:basedOn w:val="Style_5"/>
    <w:link w:val="Style_58_ch"/>
    <w:rPr>
      <w:rFonts w:ascii="Times New Roman" w:hAnsi="Times New Roman"/>
      <w:sz w:val="20"/>
    </w:rPr>
  </w:style>
  <w:style w:styleId="Style_58_ch" w:type="character">
    <w:name w:val="Колонтитул (2)"/>
    <w:basedOn w:val="Style_5_ch"/>
    <w:link w:val="Style_58"/>
    <w:rPr>
      <w:rFonts w:ascii="Times New Roman" w:hAnsi="Times New Roman"/>
      <w:sz w:val="20"/>
    </w:rPr>
  </w:style>
  <w:style w:styleId="Style_59" w:type="paragraph">
    <w:name w:val="Contents 5"/>
    <w:link w:val="Style_59_ch"/>
    <w:rPr>
      <w:rFonts w:ascii="XO Thames" w:hAnsi="XO Thames"/>
      <w:sz w:val="28"/>
    </w:rPr>
  </w:style>
  <w:style w:styleId="Style_59_ch" w:type="character">
    <w:name w:val="Contents 5"/>
    <w:link w:val="Style_59"/>
    <w:rPr>
      <w:rFonts w:ascii="XO Thames" w:hAnsi="XO Thames"/>
      <w:sz w:val="28"/>
    </w:rPr>
  </w:style>
  <w:style w:styleId="Style_60" w:type="paragraph">
    <w:name w:val="Hyperlink"/>
    <w:link w:val="Style_60_ch"/>
    <w:rPr>
      <w:color w:val="0000FF"/>
      <w:u w:val="single"/>
    </w:rPr>
  </w:style>
  <w:style w:styleId="Style_60_ch" w:type="character">
    <w:name w:val="Hyperlink"/>
    <w:link w:val="Style_60"/>
    <w:rPr>
      <w:color w:val="0000FF"/>
      <w:u w:val="single"/>
    </w:rPr>
  </w:style>
  <w:style w:styleId="Style_61" w:type="paragraph">
    <w:name w:val="Footnote"/>
    <w:link w:val="Style_61_ch"/>
    <w:pPr>
      <w:widowControl w:val="0"/>
      <w:spacing w:after="0" w:before="0" w:line="240" w:lineRule="auto"/>
      <w:ind w:firstLine="851" w:left="0" w:right="0"/>
      <w:jc w:val="both"/>
    </w:pPr>
    <w:rPr>
      <w:rFonts w:ascii="XO Thames" w:hAnsi="XO Thames"/>
      <w:color w:val="000000"/>
      <w:spacing w:val="0"/>
      <w:sz w:val="22"/>
    </w:rPr>
  </w:style>
  <w:style w:styleId="Style_61_ch" w:type="character">
    <w:name w:val="Footnote"/>
    <w:link w:val="Style_61"/>
    <w:rPr>
      <w:rFonts w:ascii="XO Thames" w:hAnsi="XO Thames"/>
      <w:color w:val="000000"/>
      <w:spacing w:val="0"/>
      <w:sz w:val="22"/>
    </w:rPr>
  </w:style>
  <w:style w:styleId="Style_62" w:type="paragraph">
    <w:name w:val="toc 1"/>
    <w:next w:val="Style_5"/>
    <w:link w:val="Style_62_ch"/>
    <w:uiPriority w:val="39"/>
    <w:pPr>
      <w:widowControl w:val="0"/>
      <w:spacing w:after="0" w:before="0" w:line="240" w:lineRule="auto"/>
      <w:ind w:firstLine="0" w:left="0" w:right="0"/>
      <w:jc w:val="left"/>
    </w:pPr>
    <w:rPr>
      <w:rFonts w:ascii="XO Thames" w:hAnsi="XO Thames"/>
      <w:b w:val="1"/>
      <w:color w:val="000000"/>
      <w:spacing w:val="0"/>
      <w:sz w:val="28"/>
    </w:rPr>
  </w:style>
  <w:style w:styleId="Style_62_ch" w:type="character">
    <w:name w:val="toc 1"/>
    <w:link w:val="Style_62"/>
    <w:rPr>
      <w:rFonts w:ascii="XO Thames" w:hAnsi="XO Thames"/>
      <w:b w:val="1"/>
      <w:color w:val="000000"/>
      <w:spacing w:val="0"/>
      <w:sz w:val="28"/>
    </w:rPr>
  </w:style>
  <w:style w:styleId="Style_63" w:type="paragraph">
    <w:name w:val="Обычный1_2"/>
    <w:link w:val="Style_63_ch"/>
    <w:pPr>
      <w:widowControl w:val="0"/>
      <w:spacing w:after="0" w:before="0" w:line="240" w:lineRule="auto"/>
      <w:ind w:firstLine="0" w:left="0" w:right="0"/>
      <w:jc w:val="left"/>
    </w:pPr>
    <w:rPr>
      <w:rFonts w:ascii="Arial Unicode MS" w:hAnsi="Arial Unicode MS"/>
      <w:color w:val="000000"/>
      <w:spacing w:val="0"/>
      <w:sz w:val="24"/>
    </w:rPr>
  </w:style>
  <w:style w:styleId="Style_63_ch" w:type="character">
    <w:name w:val="Обычный1_2"/>
    <w:link w:val="Style_63"/>
    <w:rPr>
      <w:rFonts w:ascii="Arial Unicode MS" w:hAnsi="Arial Unicode MS"/>
      <w:color w:val="000000"/>
      <w:spacing w:val="0"/>
      <w:sz w:val="24"/>
    </w:rPr>
  </w:style>
  <w:style w:styleId="Style_64" w:type="paragraph">
    <w:name w:val="Header and Footer"/>
    <w:link w:val="Style_64_ch"/>
    <w:rPr>
      <w:rFonts w:ascii="XO Thames" w:hAnsi="XO Thames"/>
      <w:sz w:val="28"/>
    </w:rPr>
  </w:style>
  <w:style w:styleId="Style_64_ch" w:type="character">
    <w:name w:val="Header and Footer"/>
    <w:link w:val="Style_64"/>
    <w:rPr>
      <w:rFonts w:ascii="XO Thames" w:hAnsi="XO Thames"/>
      <w:sz w:val="28"/>
    </w:rPr>
  </w:style>
  <w:style w:styleId="Style_65" w:type="paragraph">
    <w:name w:val="heading 1"/>
    <w:link w:val="Style_65_ch"/>
    <w:pPr>
      <w:widowControl w:val="0"/>
      <w:ind/>
      <w:outlineLvl w:val="0"/>
    </w:pPr>
    <w:rPr>
      <w:rFonts w:ascii="XO Thames" w:hAnsi="XO Thames"/>
      <w:b w:val="1"/>
      <w:sz w:val="32"/>
    </w:rPr>
  </w:style>
  <w:style w:styleId="Style_65_ch" w:type="character">
    <w:name w:val="heading 1"/>
    <w:link w:val="Style_65"/>
    <w:rPr>
      <w:rFonts w:ascii="XO Thames" w:hAnsi="XO Thames"/>
      <w:b w:val="1"/>
      <w:sz w:val="32"/>
    </w:rPr>
  </w:style>
  <w:style w:styleId="Style_43" w:type="paragraph">
    <w:name w:val="Основной шрифт абзаца1"/>
    <w:link w:val="Style_43_ch"/>
    <w:pPr>
      <w:widowControl w:val="1"/>
      <w:spacing w:after="0" w:before="0" w:line="240" w:lineRule="auto"/>
      <w:ind w:firstLine="0" w:left="0" w:right="0"/>
      <w:jc w:val="left"/>
    </w:pPr>
    <w:rPr>
      <w:rFonts w:ascii="Arial Unicode MS" w:hAnsi="Arial Unicode MS"/>
      <w:color w:val="000000"/>
      <w:spacing w:val="0"/>
      <w:sz w:val="20"/>
    </w:rPr>
  </w:style>
  <w:style w:styleId="Style_43_ch" w:type="character">
    <w:name w:val="Основной шрифт абзаца1"/>
    <w:link w:val="Style_43"/>
    <w:rPr>
      <w:rFonts w:ascii="Arial Unicode MS" w:hAnsi="Arial Unicode MS"/>
      <w:color w:val="000000"/>
      <w:spacing w:val="0"/>
      <w:sz w:val="20"/>
    </w:rPr>
  </w:style>
  <w:style w:styleId="Style_66" w:type="paragraph">
    <w:name w:val="Гиперссылка2_0"/>
    <w:link w:val="Style_66_ch"/>
    <w:pPr>
      <w:widowControl w:val="0"/>
      <w:spacing w:after="0" w:before="0" w:line="240" w:lineRule="auto"/>
      <w:ind w:firstLine="0" w:left="0" w:right="0"/>
      <w:jc w:val="left"/>
    </w:pPr>
    <w:rPr>
      <w:rFonts w:ascii="Arial Unicode MS" w:hAnsi="Arial Unicode MS"/>
      <w:color w:val="0000FF"/>
      <w:spacing w:val="0"/>
      <w:sz w:val="24"/>
      <w:u w:val="single"/>
    </w:rPr>
  </w:style>
  <w:style w:styleId="Style_66_ch" w:type="character">
    <w:name w:val="Гиперссылка2_0"/>
    <w:link w:val="Style_66"/>
    <w:rPr>
      <w:rFonts w:ascii="Arial Unicode MS" w:hAnsi="Arial Unicode MS"/>
      <w:color w:val="0000FF"/>
      <w:spacing w:val="0"/>
      <w:sz w:val="24"/>
      <w:u w:val="single"/>
    </w:rPr>
  </w:style>
  <w:style w:styleId="Style_67" w:type="paragraph">
    <w:name w:val="toc 9"/>
    <w:next w:val="Style_5"/>
    <w:link w:val="Style_67_ch"/>
    <w:uiPriority w:val="39"/>
    <w:pPr>
      <w:widowControl w:val="0"/>
      <w:spacing w:after="0" w:before="0" w:line="240" w:lineRule="auto"/>
      <w:ind w:firstLine="0" w:left="1600" w:right="0"/>
      <w:jc w:val="left"/>
    </w:pPr>
    <w:rPr>
      <w:rFonts w:ascii="XO Thames" w:hAnsi="XO Thames"/>
      <w:color w:val="000000"/>
      <w:spacing w:val="0"/>
      <w:sz w:val="28"/>
    </w:rPr>
  </w:style>
  <w:style w:styleId="Style_67_ch" w:type="character">
    <w:name w:val="toc 9"/>
    <w:link w:val="Style_67"/>
    <w:rPr>
      <w:rFonts w:ascii="XO Thames" w:hAnsi="XO Thames"/>
      <w:color w:val="000000"/>
      <w:spacing w:val="0"/>
      <w:sz w:val="28"/>
    </w:rPr>
  </w:style>
  <w:style w:styleId="Style_68" w:type="paragraph">
    <w:name w:val="Subtitle"/>
    <w:next w:val="Style_5"/>
    <w:link w:val="Style_68_ch"/>
    <w:pPr>
      <w:widowControl w:val="0"/>
      <w:spacing w:after="0" w:before="0" w:line="240" w:lineRule="auto"/>
      <w:ind w:firstLine="0" w:left="0" w:right="0"/>
      <w:jc w:val="both"/>
    </w:pPr>
    <w:rPr>
      <w:rFonts w:ascii="XO Thames" w:hAnsi="XO Thames"/>
      <w:i w:val="1"/>
      <w:color w:val="000000"/>
      <w:spacing w:val="0"/>
      <w:sz w:val="24"/>
    </w:rPr>
  </w:style>
  <w:style w:styleId="Style_68_ch" w:type="character">
    <w:name w:val="Subtitle"/>
    <w:link w:val="Style_68"/>
    <w:rPr>
      <w:rFonts w:ascii="XO Thames" w:hAnsi="XO Thames"/>
      <w:i w:val="1"/>
      <w:color w:val="000000"/>
      <w:spacing w:val="0"/>
      <w:sz w:val="24"/>
    </w:rPr>
  </w:style>
  <w:style w:styleId="Style_69" w:type="paragraph">
    <w:name w:val="Знак примечания2"/>
    <w:basedOn w:val="Style_70"/>
    <w:link w:val="Style_69_ch"/>
    <w:rPr>
      <w:sz w:val="16"/>
    </w:rPr>
  </w:style>
  <w:style w:styleId="Style_69_ch" w:type="character">
    <w:name w:val="Знак примечания2"/>
    <w:basedOn w:val="Style_70_ch"/>
    <w:link w:val="Style_69"/>
    <w:rPr>
      <w:sz w:val="16"/>
    </w:rPr>
  </w:style>
  <w:style w:styleId="Style_71" w:type="paragraph">
    <w:name w:val="toc 8"/>
    <w:next w:val="Style_5"/>
    <w:link w:val="Style_71_ch"/>
    <w:uiPriority w:val="39"/>
    <w:pPr>
      <w:widowControl w:val="0"/>
      <w:spacing w:after="0" w:before="0" w:line="240" w:lineRule="auto"/>
      <w:ind w:firstLine="0" w:left="1400" w:right="0"/>
      <w:jc w:val="left"/>
    </w:pPr>
    <w:rPr>
      <w:rFonts w:ascii="XO Thames" w:hAnsi="XO Thames"/>
      <w:color w:val="000000"/>
      <w:spacing w:val="0"/>
      <w:sz w:val="28"/>
    </w:rPr>
  </w:style>
  <w:style w:styleId="Style_71_ch" w:type="character">
    <w:name w:val="toc 8"/>
    <w:link w:val="Style_71"/>
    <w:rPr>
      <w:rFonts w:ascii="XO Thames" w:hAnsi="XO Thames"/>
      <w:color w:val="000000"/>
      <w:spacing w:val="0"/>
      <w:sz w:val="28"/>
    </w:rPr>
  </w:style>
  <w:style w:styleId="Style_72" w:type="paragraph">
    <w:name w:val="Основной шрифт абзаца1_0"/>
    <w:link w:val="Style_72_ch"/>
    <w:pPr>
      <w:widowControl w:val="0"/>
      <w:spacing w:after="0" w:before="0" w:line="240" w:lineRule="auto"/>
      <w:ind w:firstLine="0" w:left="0" w:right="0"/>
      <w:jc w:val="left"/>
    </w:pPr>
    <w:rPr>
      <w:rFonts w:ascii="Arial Unicode MS" w:hAnsi="Arial Unicode MS"/>
      <w:color w:val="000000"/>
      <w:spacing w:val="0"/>
      <w:sz w:val="24"/>
    </w:rPr>
  </w:style>
  <w:style w:styleId="Style_72_ch" w:type="character">
    <w:name w:val="Основной шрифт абзаца1_0"/>
    <w:link w:val="Style_72"/>
    <w:rPr>
      <w:rFonts w:ascii="Arial Unicode MS" w:hAnsi="Arial Unicode MS"/>
      <w:color w:val="000000"/>
      <w:spacing w:val="0"/>
      <w:sz w:val="24"/>
    </w:rPr>
  </w:style>
  <w:style w:styleId="Style_73" w:type="paragraph">
    <w:name w:val="Гиперссылка1"/>
    <w:link w:val="Style_73_ch"/>
    <w:pPr>
      <w:widowControl w:val="1"/>
      <w:spacing w:after="0" w:before="0" w:line="240" w:lineRule="auto"/>
      <w:ind w:firstLine="0" w:left="0" w:right="0"/>
      <w:jc w:val="left"/>
    </w:pPr>
    <w:rPr>
      <w:rFonts w:ascii="Arial Unicode MS" w:hAnsi="Arial Unicode MS"/>
      <w:color w:val="0000FF"/>
      <w:spacing w:val="0"/>
      <w:sz w:val="20"/>
      <w:u w:val="single"/>
    </w:rPr>
  </w:style>
  <w:style w:styleId="Style_73_ch" w:type="character">
    <w:name w:val="Гиперссылка1"/>
    <w:link w:val="Style_73"/>
    <w:rPr>
      <w:rFonts w:ascii="Arial Unicode MS" w:hAnsi="Arial Unicode MS"/>
      <w:color w:val="0000FF"/>
      <w:spacing w:val="0"/>
      <w:sz w:val="20"/>
      <w:u w:val="single"/>
    </w:rPr>
  </w:style>
  <w:style w:styleId="Style_74" w:type="paragraph">
    <w:name w:val="Основной текст (5)"/>
    <w:basedOn w:val="Style_5"/>
    <w:link w:val="Style_74_ch"/>
    <w:pPr>
      <w:widowControl w:val="0"/>
      <w:spacing w:after="200" w:before="0"/>
      <w:ind/>
      <w:jc w:val="center"/>
    </w:pPr>
    <w:rPr>
      <w:rFonts w:ascii="Courier New" w:hAnsi="Courier New"/>
      <w:i w:val="1"/>
      <w:sz w:val="18"/>
    </w:rPr>
  </w:style>
  <w:style w:styleId="Style_74_ch" w:type="character">
    <w:name w:val="Основной текст (5)"/>
    <w:basedOn w:val="Style_5_ch"/>
    <w:link w:val="Style_74"/>
    <w:rPr>
      <w:rFonts w:ascii="Courier New" w:hAnsi="Courier New"/>
      <w:i w:val="1"/>
      <w:sz w:val="18"/>
    </w:rPr>
  </w:style>
  <w:style w:styleId="Style_75" w:type="paragraph">
    <w:name w:val="Основной шрифт абзаца2"/>
    <w:link w:val="Style_75_ch"/>
    <w:pPr>
      <w:widowControl w:val="1"/>
      <w:spacing w:after="0" w:before="0" w:line="240" w:lineRule="auto"/>
      <w:ind w:firstLine="0" w:left="0" w:right="0"/>
      <w:jc w:val="left"/>
    </w:pPr>
    <w:rPr>
      <w:rFonts w:ascii="Arial Unicode MS" w:hAnsi="Arial Unicode MS"/>
      <w:color w:val="000000"/>
      <w:spacing w:val="0"/>
      <w:sz w:val="20"/>
    </w:rPr>
  </w:style>
  <w:style w:styleId="Style_75_ch" w:type="character">
    <w:name w:val="Основной шрифт абзаца2"/>
    <w:link w:val="Style_75"/>
    <w:rPr>
      <w:rFonts w:ascii="Arial Unicode MS" w:hAnsi="Arial Unicode MS"/>
      <w:color w:val="000000"/>
      <w:spacing w:val="0"/>
      <w:sz w:val="20"/>
    </w:rPr>
  </w:style>
  <w:style w:styleId="Style_70" w:type="paragraph">
    <w:name w:val="Основной шрифт абзаца4"/>
    <w:link w:val="Style_70_ch"/>
    <w:pPr>
      <w:widowControl w:val="0"/>
      <w:spacing w:after="0" w:before="0" w:line="240" w:lineRule="auto"/>
      <w:ind w:firstLine="0" w:left="0" w:right="0"/>
      <w:jc w:val="left"/>
    </w:pPr>
    <w:rPr>
      <w:rFonts w:ascii="Arial Unicode MS" w:hAnsi="Arial Unicode MS"/>
      <w:color w:val="000000"/>
      <w:spacing w:val="0"/>
      <w:sz w:val="24"/>
    </w:rPr>
  </w:style>
  <w:style w:styleId="Style_70_ch" w:type="character">
    <w:name w:val="Основной шрифт абзаца4"/>
    <w:link w:val="Style_70"/>
    <w:rPr>
      <w:rFonts w:ascii="Arial Unicode MS" w:hAnsi="Arial Unicode MS"/>
      <w:color w:val="000000"/>
      <w:spacing w:val="0"/>
      <w:sz w:val="24"/>
    </w:rPr>
  </w:style>
  <w:style w:styleId="Style_76" w:type="paragraph">
    <w:name w:val="toc 5"/>
    <w:next w:val="Style_5"/>
    <w:link w:val="Style_76_ch"/>
    <w:uiPriority w:val="39"/>
    <w:pPr>
      <w:widowControl w:val="0"/>
      <w:spacing w:after="0" w:before="0" w:line="240" w:lineRule="auto"/>
      <w:ind w:firstLine="0" w:left="800" w:right="0"/>
      <w:jc w:val="left"/>
    </w:pPr>
    <w:rPr>
      <w:rFonts w:ascii="XO Thames" w:hAnsi="XO Thames"/>
      <w:color w:val="000000"/>
      <w:spacing w:val="0"/>
      <w:sz w:val="28"/>
    </w:rPr>
  </w:style>
  <w:style w:styleId="Style_76_ch" w:type="character">
    <w:name w:val="toc 5"/>
    <w:link w:val="Style_76"/>
    <w:rPr>
      <w:rFonts w:ascii="XO Thames" w:hAnsi="XO Thames"/>
      <w:color w:val="000000"/>
      <w:spacing w:val="0"/>
      <w:sz w:val="28"/>
    </w:rPr>
  </w:style>
  <w:style w:styleId="Style_77" w:type="paragraph">
    <w:name w:val="Указатель"/>
    <w:basedOn w:val="Style_5"/>
    <w:link w:val="Style_77_ch"/>
    <w:rPr>
      <w:rFonts w:ascii="PT Astra Serif" w:hAnsi="PT Astra Serif"/>
    </w:rPr>
  </w:style>
  <w:style w:styleId="Style_77_ch" w:type="character">
    <w:name w:val="Указатель"/>
    <w:basedOn w:val="Style_5_ch"/>
    <w:link w:val="Style_77"/>
    <w:rPr>
      <w:rFonts w:ascii="PT Astra Serif" w:hAnsi="PT Astra Serif"/>
    </w:rPr>
  </w:style>
  <w:style w:styleId="Style_78" w:type="paragraph">
    <w:name w:val="Гиперссылка3"/>
    <w:link w:val="Style_78_ch"/>
    <w:pPr>
      <w:widowControl w:val="0"/>
      <w:spacing w:after="0" w:before="0" w:line="240" w:lineRule="auto"/>
      <w:ind w:firstLine="0" w:left="0" w:right="0"/>
      <w:jc w:val="left"/>
    </w:pPr>
    <w:rPr>
      <w:rFonts w:ascii="Arial Unicode MS" w:hAnsi="Arial Unicode MS"/>
      <w:color w:val="0000FF"/>
      <w:spacing w:val="0"/>
      <w:sz w:val="24"/>
      <w:u w:val="single"/>
    </w:rPr>
  </w:style>
  <w:style w:styleId="Style_78_ch" w:type="character">
    <w:name w:val="Гиперссылка3"/>
    <w:link w:val="Style_78"/>
    <w:rPr>
      <w:rFonts w:ascii="Arial Unicode MS" w:hAnsi="Arial Unicode MS"/>
      <w:color w:val="0000FF"/>
      <w:spacing w:val="0"/>
      <w:sz w:val="24"/>
      <w:u w:val="single"/>
    </w:rPr>
  </w:style>
  <w:style w:styleId="Style_79" w:type="paragraph">
    <w:name w:val="Subtitle"/>
    <w:link w:val="Style_79_ch"/>
    <w:uiPriority w:val="11"/>
    <w:qFormat/>
    <w:rPr>
      <w:rFonts w:ascii="XO Thames" w:hAnsi="XO Thames"/>
      <w:i w:val="1"/>
      <w:sz w:val="24"/>
    </w:rPr>
  </w:style>
  <w:style w:styleId="Style_79_ch" w:type="character">
    <w:name w:val="Subtitle"/>
    <w:link w:val="Style_79"/>
    <w:rPr>
      <w:rFonts w:ascii="XO Thames" w:hAnsi="XO Thames"/>
      <w:i w:val="1"/>
      <w:sz w:val="24"/>
    </w:rPr>
  </w:style>
  <w:style w:styleId="Style_80" w:type="paragraph">
    <w:name w:val="Обычный1_1"/>
    <w:link w:val="Style_80_ch"/>
    <w:pPr>
      <w:widowControl w:val="1"/>
      <w:spacing w:after="0" w:before="0" w:line="240" w:lineRule="auto"/>
      <w:ind w:firstLine="0" w:left="0" w:right="0"/>
      <w:jc w:val="left"/>
    </w:pPr>
    <w:rPr>
      <w:rFonts w:ascii="Arial Unicode MS" w:hAnsi="Arial Unicode MS"/>
      <w:color w:val="000000"/>
      <w:spacing w:val="0"/>
      <w:sz w:val="24"/>
    </w:rPr>
  </w:style>
  <w:style w:styleId="Style_80_ch" w:type="character">
    <w:name w:val="Обычный1_1"/>
    <w:link w:val="Style_80"/>
    <w:rPr>
      <w:rFonts w:ascii="Arial Unicode MS" w:hAnsi="Arial Unicode MS"/>
      <w:color w:val="000000"/>
      <w:spacing w:val="0"/>
      <w:sz w:val="24"/>
    </w:rPr>
  </w:style>
  <w:style w:styleId="Style_81" w:type="paragraph">
    <w:name w:val="heading 2"/>
    <w:next w:val="Style_5"/>
    <w:link w:val="Style_81_ch"/>
    <w:pPr>
      <w:widowControl w:val="0"/>
      <w:spacing w:after="120" w:before="120" w:line="240" w:lineRule="auto"/>
      <w:ind w:firstLine="0" w:left="0" w:right="0"/>
      <w:jc w:val="both"/>
      <w:outlineLvl w:val="1"/>
    </w:pPr>
    <w:rPr>
      <w:rFonts w:ascii="XO Thames" w:hAnsi="XO Thames"/>
      <w:b w:val="1"/>
      <w:color w:val="000000"/>
      <w:spacing w:val="0"/>
      <w:sz w:val="28"/>
    </w:rPr>
  </w:style>
  <w:style w:styleId="Style_81_ch" w:type="character">
    <w:name w:val="heading 2"/>
    <w:link w:val="Style_81"/>
    <w:rPr>
      <w:rFonts w:ascii="XO Thames" w:hAnsi="XO Thames"/>
      <w:b w:val="1"/>
      <w:color w:val="000000"/>
      <w:spacing w:val="0"/>
      <w:sz w:val="28"/>
    </w:rPr>
  </w:style>
  <w:style w:styleId="Style_82" w:type="paragraph">
    <w:name w:val="Title"/>
    <w:link w:val="Style_82_ch"/>
    <w:uiPriority w:val="10"/>
    <w:qFormat/>
    <w:rPr>
      <w:rFonts w:ascii="XO Thames" w:hAnsi="XO Thames"/>
      <w:b w:val="1"/>
      <w:caps w:val="1"/>
      <w:sz w:val="40"/>
    </w:rPr>
  </w:style>
  <w:style w:styleId="Style_82_ch" w:type="character">
    <w:name w:val="Title"/>
    <w:link w:val="Style_82"/>
    <w:rPr>
      <w:rFonts w:ascii="XO Thames" w:hAnsi="XO Thames"/>
      <w:b w:val="1"/>
      <w:caps w:val="1"/>
      <w:sz w:val="40"/>
    </w:rPr>
  </w:style>
  <w:style w:styleId="Style_83" w:type="paragraph">
    <w:name w:val="Contents 4"/>
    <w:link w:val="Style_83_ch"/>
    <w:rPr>
      <w:rFonts w:ascii="XO Thames" w:hAnsi="XO Thames"/>
      <w:sz w:val="28"/>
    </w:rPr>
  </w:style>
  <w:style w:styleId="Style_83_ch" w:type="character">
    <w:name w:val="Contents 4"/>
    <w:link w:val="Style_83"/>
    <w:rPr>
      <w:rFonts w:ascii="XO Thames" w:hAnsi="XO Thames"/>
      <w:sz w:val="28"/>
    </w:rPr>
  </w:style>
  <w:style w:styleId="Style_84" w:type="paragraph">
    <w:name w:val="heading 4"/>
    <w:next w:val="Style_5"/>
    <w:link w:val="Style_84_ch"/>
    <w:uiPriority w:val="9"/>
    <w:qFormat/>
    <w:pPr>
      <w:widowControl w:val="0"/>
      <w:spacing w:after="120" w:before="120" w:line="240" w:lineRule="auto"/>
      <w:ind w:firstLine="0" w:left="0" w:right="0"/>
      <w:jc w:val="both"/>
      <w:outlineLvl w:val="3"/>
    </w:pPr>
    <w:rPr>
      <w:rFonts w:ascii="XO Thames" w:hAnsi="XO Thames"/>
      <w:b w:val="1"/>
      <w:color w:val="000000"/>
      <w:spacing w:val="0"/>
      <w:sz w:val="24"/>
    </w:rPr>
  </w:style>
  <w:style w:styleId="Style_84_ch" w:type="character">
    <w:name w:val="heading 4"/>
    <w:link w:val="Style_84"/>
    <w:rPr>
      <w:rFonts w:ascii="XO Thames" w:hAnsi="XO Thames"/>
      <w:b w:val="1"/>
      <w:color w:val="000000"/>
      <w:spacing w:val="0"/>
      <w:sz w:val="24"/>
    </w:rPr>
  </w:style>
  <w:style w:styleId="Style_85" w:type="paragraph">
    <w:name w:val="Text body"/>
    <w:link w:val="Style_85_ch"/>
    <w:rPr>
      <w:rFonts w:ascii="Arial" w:hAnsi="Arial"/>
      <w:sz w:val="20"/>
    </w:rPr>
  </w:style>
  <w:style w:styleId="Style_85_ch" w:type="character">
    <w:name w:val="Text body"/>
    <w:link w:val="Style_85"/>
    <w:rPr>
      <w:rFonts w:ascii="Arial" w:hAnsi="Arial"/>
      <w:sz w:val="20"/>
    </w:rPr>
  </w:style>
  <w:style w:styleId="Style_86" w:type="paragraph">
    <w:name w:val="Обычный1_0"/>
    <w:link w:val="Style_86_ch"/>
    <w:pPr>
      <w:widowControl w:val="1"/>
      <w:spacing w:after="0" w:before="0" w:line="240" w:lineRule="auto"/>
      <w:ind w:firstLine="0" w:left="0" w:right="0"/>
      <w:jc w:val="left"/>
    </w:pPr>
    <w:rPr>
      <w:rFonts w:ascii="Arial Unicode MS" w:hAnsi="Arial Unicode MS"/>
      <w:color w:val="000000"/>
      <w:spacing w:val="0"/>
      <w:sz w:val="20"/>
    </w:rPr>
  </w:style>
  <w:style w:styleId="Style_86_ch" w:type="character">
    <w:name w:val="Обычный1_0"/>
    <w:link w:val="Style_86"/>
    <w:rPr>
      <w:rFonts w:ascii="Arial Unicode MS" w:hAnsi="Arial Unicode MS"/>
      <w:color w:val="000000"/>
      <w:spacing w:val="0"/>
      <w:sz w:val="20"/>
    </w:rPr>
  </w:style>
  <w:style w:styleId="Style_87" w:type="paragraph">
    <w:name w:val="Оглавление 3 Знак"/>
    <w:link w:val="Style_87_ch"/>
    <w:pPr>
      <w:widowControl w:val="1"/>
      <w:spacing w:after="0" w:before="0" w:line="240" w:lineRule="auto"/>
      <w:ind w:firstLine="0" w:left="0" w:right="0"/>
      <w:jc w:val="left"/>
    </w:pPr>
    <w:rPr>
      <w:rFonts w:ascii="XO Thames" w:hAnsi="XO Thames"/>
      <w:color w:val="000000"/>
      <w:spacing w:val="0"/>
      <w:sz w:val="28"/>
    </w:rPr>
  </w:style>
  <w:style w:styleId="Style_87_ch" w:type="character">
    <w:name w:val="Оглавление 3 Знак"/>
    <w:link w:val="Style_87"/>
    <w:rPr>
      <w:rFonts w:ascii="XO Thames" w:hAnsi="XO Thames"/>
      <w:color w:val="000000"/>
      <w:spacing w:val="0"/>
      <w:sz w:val="28"/>
    </w:rPr>
  </w:style>
  <w:style w:styleId="Style_88" w:type="paragraph">
    <w:name w:val="heading 2"/>
    <w:link w:val="Style_88_ch"/>
    <w:uiPriority w:val="9"/>
    <w:qFormat/>
    <w:pPr>
      <w:widowControl w:val="0"/>
      <w:ind/>
      <w:outlineLvl w:val="1"/>
    </w:pPr>
    <w:rPr>
      <w:rFonts w:ascii="XO Thames" w:hAnsi="XO Thames"/>
      <w:b w:val="1"/>
      <w:sz w:val="28"/>
    </w:rPr>
  </w:style>
  <w:style w:styleId="Style_88_ch" w:type="character">
    <w:name w:val="heading 2"/>
    <w:link w:val="Style_88"/>
    <w:rPr>
      <w:rFonts w:ascii="XO Thames" w:hAnsi="XO Thames"/>
      <w:b w:val="1"/>
      <w:sz w:val="28"/>
    </w:rPr>
  </w:style>
  <w:style w:styleId="Style_89" w:type="paragraph">
    <w:name w:val="Line Number"/>
    <w:link w:val="Style_89_ch"/>
  </w:style>
  <w:style w:styleId="Style_89_ch" w:type="character">
    <w:name w:val="Line Number"/>
    <w:link w:val="Style_89"/>
  </w:style>
  <w:style w:styleId="Style_90" w:type="paragraph">
    <w:name w:val="Contents 3"/>
    <w:link w:val="Style_90_ch"/>
    <w:rPr>
      <w:rFonts w:ascii="XO Thames" w:hAnsi="XO Thames"/>
      <w:sz w:val="28"/>
    </w:rPr>
  </w:style>
  <w:style w:styleId="Style_90_ch" w:type="character">
    <w:name w:val="Contents 3"/>
    <w:link w:val="Style_90"/>
    <w:rPr>
      <w:rFonts w:ascii="XO Thames" w:hAnsi="XO Thames"/>
      <w:sz w:val="28"/>
    </w:rPr>
  </w:style>
  <w:style w:styleId="Style_91" w:type="paragraph">
    <w:name w:val="Contents 1"/>
    <w:link w:val="Style_91_ch"/>
    <w:rPr>
      <w:rFonts w:ascii="XO Thames" w:hAnsi="XO Thames"/>
      <w:b w:val="1"/>
      <w:sz w:val="28"/>
    </w:rPr>
  </w:style>
  <w:style w:styleId="Style_91_ch" w:type="character">
    <w:name w:val="Contents 1"/>
    <w:link w:val="Style_91"/>
    <w:rPr>
      <w:rFonts w:ascii="XO Thames" w:hAnsi="XO Thames"/>
      <w:b w:val="1"/>
      <w:sz w:val="28"/>
    </w:rPr>
  </w:style>
  <w:style w:styleId="Style_92" w:type="paragraph">
    <w:name w:val="Contents 8"/>
    <w:link w:val="Style_92_ch"/>
    <w:rPr>
      <w:rFonts w:ascii="XO Thames" w:hAnsi="XO Thames"/>
      <w:sz w:val="28"/>
    </w:rPr>
  </w:style>
  <w:style w:styleId="Style_92_ch" w:type="character">
    <w:name w:val="Contents 8"/>
    <w:link w:val="Style_92"/>
    <w:rPr>
      <w:rFonts w:ascii="XO Thames" w:hAnsi="XO Thames"/>
      <w:sz w:val="28"/>
    </w:rPr>
  </w:style>
  <w:style w:styleId="Style_93" w:type="paragraph">
    <w:name w:val="_1"/>
    <w:link w:val="Style_93_ch"/>
    <w:pPr>
      <w:widowControl w:val="1"/>
      <w:spacing w:after="0" w:before="0" w:line="240" w:lineRule="auto"/>
      <w:ind w:firstLine="0" w:left="0" w:right="0"/>
      <w:jc w:val="left"/>
    </w:pPr>
    <w:rPr>
      <w:rFonts w:ascii="Arial Unicode MS" w:hAnsi="Arial Unicode MS"/>
      <w:color w:val="000000"/>
      <w:spacing w:val="0"/>
      <w:sz w:val="24"/>
    </w:rPr>
  </w:style>
  <w:style w:styleId="Style_93_ch" w:type="character">
    <w:name w:val="_1"/>
    <w:link w:val="Style_93"/>
    <w:rPr>
      <w:rFonts w:ascii="Arial Unicode MS" w:hAnsi="Arial Unicode MS"/>
      <w:color w:val="000000"/>
      <w:spacing w:val="0"/>
      <w:sz w:val="24"/>
    </w:rPr>
  </w:style>
  <w:style w:styleId="Style_94" w:type="paragraph">
    <w:name w:val="Основной текст (3)"/>
    <w:basedOn w:val="Style_5"/>
    <w:link w:val="Style_94_ch"/>
    <w:pPr>
      <w:widowControl w:val="0"/>
      <w:spacing w:after="310" w:before="0"/>
      <w:ind/>
    </w:pPr>
    <w:rPr>
      <w:rFonts w:ascii="Arial" w:hAnsi="Arial"/>
      <w:i w:val="1"/>
      <w:sz w:val="18"/>
    </w:rPr>
  </w:style>
  <w:style w:styleId="Style_94_ch" w:type="character">
    <w:name w:val="Основной текст (3)"/>
    <w:basedOn w:val="Style_5_ch"/>
    <w:link w:val="Style_94"/>
    <w:rPr>
      <w:rFonts w:ascii="Arial" w:hAnsi="Arial"/>
      <w:i w:val="1"/>
      <w:sz w:val="18"/>
    </w:rPr>
  </w:style>
  <w:style w:default="1" w:styleId="Style_7"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2025-11-06T06:22:21Z</dcterms:created>
  <dcterms:modified xsi:type="dcterms:W3CDTF">2025-11-06T06:22:21Z</dcterms:modified>
</cp:coreProperties>
</file>